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F4B0F8" w14:textId="77777777" w:rsidR="005137A1" w:rsidRPr="00DE0DF2" w:rsidRDefault="005137A1" w:rsidP="00CE75A6">
      <w:pPr>
        <w:rPr>
          <w:rFonts w:ascii="Garamond" w:hAnsi="Garamond"/>
        </w:rPr>
      </w:pPr>
    </w:p>
    <w:p w14:paraId="7035E4B8" w14:textId="77777777" w:rsidR="005137A1" w:rsidRPr="00DE0DF2" w:rsidRDefault="005137A1" w:rsidP="00CE75A6">
      <w:pPr>
        <w:rPr>
          <w:rFonts w:ascii="Garamond" w:hAnsi="Garamond"/>
        </w:rPr>
      </w:pPr>
    </w:p>
    <w:p w14:paraId="5E9463BF" w14:textId="2EB7088B" w:rsidR="005137A1" w:rsidRPr="00DE0DF2" w:rsidRDefault="00B6202A" w:rsidP="00CE75A6">
      <w:pPr>
        <w:rPr>
          <w:rFonts w:ascii="Garamond" w:hAnsi="Garamond"/>
        </w:rPr>
      </w:pPr>
      <w:r>
        <w:rPr>
          <w:rFonts w:ascii="Garamond" w:hAnsi="Garamond"/>
        </w:rPr>
        <w:t>July 20</w:t>
      </w:r>
      <w:r w:rsidR="00C7718E" w:rsidRPr="00DE0DF2">
        <w:rPr>
          <w:rFonts w:ascii="Garamond" w:hAnsi="Garamond"/>
        </w:rPr>
        <w:t>, 201</w:t>
      </w:r>
      <w:r w:rsidR="00582565">
        <w:rPr>
          <w:rFonts w:ascii="Garamond" w:hAnsi="Garamond"/>
        </w:rPr>
        <w:t>5</w:t>
      </w:r>
    </w:p>
    <w:p w14:paraId="7DC38ECB" w14:textId="77777777" w:rsidR="005137A1" w:rsidRPr="00DE0DF2" w:rsidRDefault="005137A1" w:rsidP="00CE75A6">
      <w:pPr>
        <w:rPr>
          <w:rFonts w:ascii="Garamond" w:hAnsi="Garamond"/>
        </w:rPr>
      </w:pPr>
    </w:p>
    <w:p w14:paraId="70E83C90" w14:textId="6B207279" w:rsidR="005B0A8F" w:rsidRDefault="005B0A8F" w:rsidP="00CE75A6">
      <w:pPr>
        <w:rPr>
          <w:rFonts w:ascii="Garamond" w:hAnsi="Garamond"/>
          <w:color w:val="000000"/>
        </w:rPr>
      </w:pPr>
      <w:r>
        <w:rPr>
          <w:rFonts w:ascii="Garamond" w:hAnsi="Garamond"/>
          <w:color w:val="000000"/>
        </w:rPr>
        <w:t>Policy and Oversight Division</w:t>
      </w:r>
      <w:r w:rsidRPr="005B0A8F">
        <w:rPr>
          <w:rFonts w:ascii="Garamond" w:hAnsi="Garamond"/>
          <w:color w:val="000000"/>
        </w:rPr>
        <w:t xml:space="preserve"> </w:t>
      </w:r>
    </w:p>
    <w:p w14:paraId="77F7F1F0" w14:textId="4AF921D0" w:rsidR="005B0A8F" w:rsidRDefault="005B0A8F" w:rsidP="00CE75A6">
      <w:pPr>
        <w:rPr>
          <w:rFonts w:ascii="Garamond" w:hAnsi="Garamond"/>
          <w:color w:val="000000"/>
        </w:rPr>
      </w:pPr>
      <w:r w:rsidRPr="005B0A8F">
        <w:rPr>
          <w:rFonts w:ascii="Garamond" w:hAnsi="Garamond"/>
          <w:color w:val="000000"/>
        </w:rPr>
        <w:t xml:space="preserve">Office of </w:t>
      </w:r>
      <w:r>
        <w:rPr>
          <w:rFonts w:ascii="Garamond" w:hAnsi="Garamond"/>
          <w:color w:val="000000"/>
        </w:rPr>
        <w:t>Grants and Financial Management</w:t>
      </w:r>
      <w:r w:rsidRPr="005B0A8F">
        <w:rPr>
          <w:rFonts w:ascii="Garamond" w:hAnsi="Garamond"/>
          <w:color w:val="000000"/>
        </w:rPr>
        <w:t xml:space="preserve"> </w:t>
      </w:r>
    </w:p>
    <w:p w14:paraId="5A33E114" w14:textId="0286C3F5" w:rsidR="005B0A8F" w:rsidRDefault="005B0A8F" w:rsidP="00CE75A6">
      <w:pPr>
        <w:rPr>
          <w:rFonts w:ascii="Garamond" w:hAnsi="Garamond"/>
          <w:color w:val="000000"/>
        </w:rPr>
      </w:pPr>
      <w:r w:rsidRPr="005B0A8F">
        <w:rPr>
          <w:rFonts w:ascii="Garamond" w:hAnsi="Garamond"/>
          <w:color w:val="000000"/>
        </w:rPr>
        <w:t>National Institute</w:t>
      </w:r>
      <w:r>
        <w:rPr>
          <w:rFonts w:ascii="Garamond" w:hAnsi="Garamond"/>
          <w:color w:val="000000"/>
        </w:rPr>
        <w:t xml:space="preserve"> of Food and Agriculture </w:t>
      </w:r>
    </w:p>
    <w:p w14:paraId="4C937462" w14:textId="3356CF8A" w:rsidR="005B0A8F" w:rsidRDefault="005B0A8F" w:rsidP="00CE75A6">
      <w:pPr>
        <w:rPr>
          <w:rFonts w:ascii="Garamond" w:hAnsi="Garamond"/>
          <w:color w:val="000000"/>
        </w:rPr>
      </w:pPr>
      <w:r>
        <w:rPr>
          <w:rFonts w:ascii="Garamond" w:hAnsi="Garamond"/>
          <w:color w:val="000000"/>
        </w:rPr>
        <w:t xml:space="preserve">USDA </w:t>
      </w:r>
      <w:r w:rsidRPr="005B0A8F">
        <w:rPr>
          <w:rFonts w:ascii="Garamond" w:hAnsi="Garamond"/>
          <w:color w:val="000000"/>
        </w:rPr>
        <w:t>S</w:t>
      </w:r>
      <w:r>
        <w:rPr>
          <w:rFonts w:ascii="Garamond" w:hAnsi="Garamond"/>
          <w:color w:val="000000"/>
        </w:rPr>
        <w:t>TOP 2299</w:t>
      </w:r>
      <w:r w:rsidRPr="005B0A8F">
        <w:rPr>
          <w:rFonts w:ascii="Garamond" w:hAnsi="Garamond"/>
          <w:color w:val="000000"/>
        </w:rPr>
        <w:t xml:space="preserve"> </w:t>
      </w:r>
    </w:p>
    <w:p w14:paraId="15BE789E" w14:textId="5A6AF2BB" w:rsidR="005B0A8F" w:rsidRDefault="005B0A8F" w:rsidP="00CE75A6">
      <w:pPr>
        <w:rPr>
          <w:rFonts w:ascii="Garamond" w:hAnsi="Garamond"/>
          <w:color w:val="000000"/>
        </w:rPr>
      </w:pPr>
      <w:r>
        <w:rPr>
          <w:rFonts w:ascii="Garamond" w:hAnsi="Garamond"/>
          <w:color w:val="000000"/>
        </w:rPr>
        <w:t>1400 Independence Avenue, SW</w:t>
      </w:r>
      <w:r w:rsidRPr="005B0A8F">
        <w:rPr>
          <w:rFonts w:ascii="Garamond" w:hAnsi="Garamond"/>
          <w:color w:val="000000"/>
        </w:rPr>
        <w:t xml:space="preserve"> </w:t>
      </w:r>
    </w:p>
    <w:p w14:paraId="581DBF64" w14:textId="47260B9B" w:rsidR="00621638" w:rsidRPr="005B0A8F" w:rsidRDefault="005B0A8F" w:rsidP="00CE75A6">
      <w:pPr>
        <w:rPr>
          <w:rFonts w:ascii="Garamond" w:hAnsi="Garamond"/>
        </w:rPr>
      </w:pPr>
      <w:r w:rsidRPr="005B0A8F">
        <w:rPr>
          <w:rFonts w:ascii="Garamond" w:hAnsi="Garamond"/>
          <w:color w:val="000000"/>
        </w:rPr>
        <w:t>Washington, DC 20250-2299</w:t>
      </w:r>
    </w:p>
    <w:p w14:paraId="19981AB8" w14:textId="77777777" w:rsidR="005B0A8F" w:rsidRDefault="005B0A8F" w:rsidP="00CE75A6">
      <w:pPr>
        <w:rPr>
          <w:rFonts w:ascii="Garamond" w:hAnsi="Garamond"/>
        </w:rPr>
      </w:pPr>
    </w:p>
    <w:p w14:paraId="084450C6" w14:textId="3CD0771A" w:rsidR="005137A1" w:rsidRPr="00DE0DF2" w:rsidRDefault="005137A1" w:rsidP="00CE75A6">
      <w:pPr>
        <w:rPr>
          <w:rFonts w:ascii="Garamond" w:hAnsi="Garamond"/>
        </w:rPr>
      </w:pPr>
      <w:r w:rsidRPr="00DE0DF2">
        <w:rPr>
          <w:rFonts w:ascii="Garamond" w:hAnsi="Garamond"/>
        </w:rPr>
        <w:t xml:space="preserve">Submitted </w:t>
      </w:r>
      <w:r w:rsidR="00F06A94">
        <w:rPr>
          <w:rFonts w:ascii="Garamond" w:hAnsi="Garamond"/>
        </w:rPr>
        <w:t>v</w:t>
      </w:r>
      <w:r w:rsidRPr="00DE0DF2">
        <w:rPr>
          <w:rFonts w:ascii="Garamond" w:hAnsi="Garamond"/>
        </w:rPr>
        <w:t xml:space="preserve">ia </w:t>
      </w:r>
      <w:r w:rsidR="005B0A8F">
        <w:rPr>
          <w:rFonts w:ascii="Garamond" w:hAnsi="Garamond"/>
        </w:rPr>
        <w:t>e-mail</w:t>
      </w:r>
      <w:r w:rsidR="00C6708A">
        <w:rPr>
          <w:rFonts w:ascii="Garamond" w:hAnsi="Garamond"/>
        </w:rPr>
        <w:t xml:space="preserve"> </w:t>
      </w:r>
      <w:hyperlink r:id="rId9" w:history="1">
        <w:r w:rsidR="00C6708A" w:rsidRPr="00C6708A">
          <w:rPr>
            <w:rStyle w:val="Hyperlink"/>
            <w:rFonts w:ascii="Garamond" w:hAnsi="Garamond"/>
          </w:rPr>
          <w:t>Policy@nifa.usda.gov</w:t>
        </w:r>
      </w:hyperlink>
      <w:r w:rsidR="00C6708A" w:rsidRPr="00A078A7">
        <w:rPr>
          <w:color w:val="000000"/>
        </w:rPr>
        <w:t xml:space="preserve"> </w:t>
      </w:r>
    </w:p>
    <w:p w14:paraId="3FDB6F8E" w14:textId="77777777" w:rsidR="005137A1" w:rsidRPr="00DE0DF2" w:rsidRDefault="005137A1" w:rsidP="00CE75A6">
      <w:pPr>
        <w:rPr>
          <w:rFonts w:ascii="Garamond" w:hAnsi="Garamond"/>
        </w:rPr>
      </w:pPr>
    </w:p>
    <w:p w14:paraId="60537A31" w14:textId="73168488" w:rsidR="005137A1" w:rsidRPr="005B0A8F" w:rsidRDefault="005137A1" w:rsidP="00CE75A6">
      <w:pPr>
        <w:rPr>
          <w:rFonts w:ascii="Garamond" w:hAnsi="Garamond"/>
          <w:b/>
        </w:rPr>
      </w:pPr>
      <w:r w:rsidRPr="005B0A8F">
        <w:rPr>
          <w:rFonts w:ascii="Garamond" w:hAnsi="Garamond"/>
          <w:b/>
        </w:rPr>
        <w:t xml:space="preserve">RE: </w:t>
      </w:r>
      <w:r w:rsidR="00582565">
        <w:rPr>
          <w:rFonts w:ascii="Garamond" w:hAnsi="Garamond"/>
          <w:b/>
        </w:rPr>
        <w:t>Comments Responding to the 2015</w:t>
      </w:r>
      <w:r w:rsidR="005B0A8F" w:rsidRPr="005B0A8F">
        <w:rPr>
          <w:rFonts w:ascii="Garamond" w:hAnsi="Garamond"/>
          <w:b/>
        </w:rPr>
        <w:t xml:space="preserve"> </w:t>
      </w:r>
      <w:r w:rsidR="005B0A8F" w:rsidRPr="005B0A8F">
        <w:rPr>
          <w:rFonts w:ascii="Garamond" w:hAnsi="Garamond"/>
          <w:b/>
          <w:bCs/>
          <w:color w:val="000000"/>
        </w:rPr>
        <w:t>Organic Agriculture Research and Extension Initiative</w:t>
      </w:r>
      <w:r w:rsidR="005B0A8F" w:rsidRPr="005B0A8F">
        <w:rPr>
          <w:rFonts w:ascii="Garamond" w:hAnsi="Garamond"/>
          <w:b/>
          <w:color w:val="000000"/>
        </w:rPr>
        <w:t xml:space="preserve"> </w:t>
      </w:r>
      <w:r w:rsidR="00AF6A3F">
        <w:rPr>
          <w:rFonts w:ascii="Garamond" w:hAnsi="Garamond"/>
          <w:b/>
          <w:color w:val="000000"/>
        </w:rPr>
        <w:t>Request for Applications</w:t>
      </w:r>
    </w:p>
    <w:p w14:paraId="7D83A14F" w14:textId="77777777" w:rsidR="00113BC5" w:rsidRPr="00DE0DF2" w:rsidRDefault="00113BC5" w:rsidP="00CE75A6">
      <w:pPr>
        <w:rPr>
          <w:rFonts w:ascii="Garamond" w:hAnsi="Garamond"/>
        </w:rPr>
      </w:pPr>
    </w:p>
    <w:p w14:paraId="52D4BDD7" w14:textId="25C1BC67" w:rsidR="000D61D4" w:rsidRPr="00DE0DF2" w:rsidRDefault="005137A1" w:rsidP="00CE75A6">
      <w:pPr>
        <w:rPr>
          <w:rFonts w:ascii="Garamond" w:hAnsi="Garamond"/>
        </w:rPr>
      </w:pPr>
      <w:r w:rsidRPr="00DE0DF2">
        <w:rPr>
          <w:rFonts w:ascii="Garamond" w:hAnsi="Garamond"/>
        </w:rPr>
        <w:t>On behalf of the National Sustainable</w:t>
      </w:r>
      <w:r w:rsidR="00A60A60" w:rsidRPr="00DE0DF2">
        <w:rPr>
          <w:rFonts w:ascii="Garamond" w:hAnsi="Garamond"/>
        </w:rPr>
        <w:t xml:space="preserve"> Agriculture Coalition (NSAC)</w:t>
      </w:r>
      <w:r w:rsidR="00A83728">
        <w:rPr>
          <w:rFonts w:ascii="Garamond" w:hAnsi="Garamond"/>
        </w:rPr>
        <w:t>,</w:t>
      </w:r>
      <w:r w:rsidR="00A60A60" w:rsidRPr="00DE0DF2">
        <w:rPr>
          <w:rFonts w:ascii="Garamond" w:hAnsi="Garamond"/>
        </w:rPr>
        <w:t xml:space="preserve"> we</w:t>
      </w:r>
      <w:r w:rsidR="00E06544" w:rsidRPr="00DE0DF2">
        <w:rPr>
          <w:rFonts w:ascii="Garamond" w:hAnsi="Garamond"/>
        </w:rPr>
        <w:t xml:space="preserve"> are</w:t>
      </w:r>
      <w:r w:rsidRPr="00DE0DF2">
        <w:rPr>
          <w:rFonts w:ascii="Garamond" w:hAnsi="Garamond"/>
        </w:rPr>
        <w:t xml:space="preserve"> submitting </w:t>
      </w:r>
      <w:r w:rsidR="00A83728">
        <w:rPr>
          <w:rFonts w:ascii="Garamond" w:hAnsi="Garamond"/>
        </w:rPr>
        <w:t>recommendations</w:t>
      </w:r>
      <w:r w:rsidRPr="00DE0DF2">
        <w:rPr>
          <w:rFonts w:ascii="Garamond" w:hAnsi="Garamond"/>
        </w:rPr>
        <w:t xml:space="preserve"> </w:t>
      </w:r>
      <w:r w:rsidR="000D61D4" w:rsidRPr="00DE0DF2">
        <w:rPr>
          <w:rFonts w:ascii="Garamond" w:hAnsi="Garamond"/>
        </w:rPr>
        <w:t xml:space="preserve">in response to the </w:t>
      </w:r>
      <w:r w:rsidR="00AF6A3F">
        <w:rPr>
          <w:rFonts w:ascii="Garamond" w:hAnsi="Garamond"/>
        </w:rPr>
        <w:t>s</w:t>
      </w:r>
      <w:r w:rsidR="000D61D4" w:rsidRPr="00DE0DF2">
        <w:rPr>
          <w:rFonts w:ascii="Garamond" w:hAnsi="Garamond"/>
        </w:rPr>
        <w:t xml:space="preserve">olicitation </w:t>
      </w:r>
      <w:r w:rsidR="00AF6A3F">
        <w:rPr>
          <w:rFonts w:ascii="Garamond" w:hAnsi="Garamond"/>
        </w:rPr>
        <w:t>for stakeholder input on</w:t>
      </w:r>
      <w:r w:rsidR="005B0A8F">
        <w:rPr>
          <w:rFonts w:ascii="Garamond" w:hAnsi="Garamond"/>
        </w:rPr>
        <w:t xml:space="preserve"> the </w:t>
      </w:r>
      <w:r w:rsidR="00840106">
        <w:rPr>
          <w:rFonts w:ascii="Garamond" w:hAnsi="Garamond"/>
        </w:rPr>
        <w:t>FY</w:t>
      </w:r>
      <w:r w:rsidR="00533568">
        <w:rPr>
          <w:rFonts w:ascii="Garamond" w:hAnsi="Garamond"/>
        </w:rPr>
        <w:t>2015</w:t>
      </w:r>
      <w:r w:rsidR="002D3847">
        <w:rPr>
          <w:rFonts w:ascii="Garamond" w:hAnsi="Garamond"/>
        </w:rPr>
        <w:t xml:space="preserve"> </w:t>
      </w:r>
      <w:r w:rsidR="005B0A8F">
        <w:rPr>
          <w:rFonts w:ascii="Garamond" w:hAnsi="Garamond"/>
        </w:rPr>
        <w:t>Organic Agriculture Research and Extension Initiative</w:t>
      </w:r>
      <w:r w:rsidR="00CE57B7">
        <w:rPr>
          <w:rFonts w:ascii="Garamond" w:hAnsi="Garamond"/>
        </w:rPr>
        <w:t xml:space="preserve"> (OREI)</w:t>
      </w:r>
      <w:r w:rsidR="005B0A8F">
        <w:rPr>
          <w:rFonts w:ascii="Garamond" w:hAnsi="Garamond"/>
        </w:rPr>
        <w:t xml:space="preserve"> </w:t>
      </w:r>
      <w:r w:rsidR="00840106">
        <w:rPr>
          <w:rFonts w:ascii="Garamond" w:hAnsi="Garamond"/>
        </w:rPr>
        <w:t>Request for Applications (</w:t>
      </w:r>
      <w:r w:rsidR="005B0A8F">
        <w:rPr>
          <w:rFonts w:ascii="Garamond" w:hAnsi="Garamond"/>
        </w:rPr>
        <w:t>RFA</w:t>
      </w:r>
      <w:r w:rsidR="00840106">
        <w:rPr>
          <w:rFonts w:ascii="Garamond" w:hAnsi="Garamond"/>
        </w:rPr>
        <w:t>)</w:t>
      </w:r>
      <w:r w:rsidR="000D61D4" w:rsidRPr="00DE0DF2">
        <w:rPr>
          <w:rFonts w:ascii="Garamond" w:hAnsi="Garamond"/>
        </w:rPr>
        <w:t>.</w:t>
      </w:r>
    </w:p>
    <w:p w14:paraId="4683BDA4" w14:textId="77777777" w:rsidR="000D61D4" w:rsidRPr="00DE0DF2" w:rsidRDefault="000D61D4" w:rsidP="00CE75A6">
      <w:pPr>
        <w:rPr>
          <w:rFonts w:ascii="Garamond" w:hAnsi="Garamond"/>
        </w:rPr>
      </w:pPr>
    </w:p>
    <w:p w14:paraId="470F22EE" w14:textId="1465808B" w:rsidR="005137A1" w:rsidRPr="00DE0DF2" w:rsidRDefault="005137A1" w:rsidP="00CE75A6">
      <w:pPr>
        <w:rPr>
          <w:rFonts w:ascii="Garamond" w:eastAsia="Cambria" w:hAnsi="Garamond" w:cs="Times New Roman"/>
        </w:rPr>
      </w:pPr>
      <w:r w:rsidRPr="00DE0DF2">
        <w:rPr>
          <w:rFonts w:ascii="Garamond" w:eastAsia="Cambria" w:hAnsi="Garamond" w:cs="Times New Roman"/>
        </w:rPr>
        <w:t>NSAC represents</w:t>
      </w:r>
      <w:r w:rsidRPr="00DE0DF2">
        <w:rPr>
          <w:rFonts w:ascii="Garamond" w:hAnsi="Garamond"/>
        </w:rPr>
        <w:t xml:space="preserve"> </w:t>
      </w:r>
      <w:r w:rsidR="00DF689A">
        <w:rPr>
          <w:rFonts w:ascii="Garamond" w:hAnsi="Garamond"/>
        </w:rPr>
        <w:t>42</w:t>
      </w:r>
      <w:r w:rsidRPr="00DE0DF2">
        <w:rPr>
          <w:rFonts w:ascii="Garamond" w:eastAsia="Cambria" w:hAnsi="Garamond" w:cs="Times New Roman"/>
        </w:rPr>
        <w:t xml:space="preserve"> family farm, rural development, conservation</w:t>
      </w:r>
      <w:r w:rsidR="000D2B60">
        <w:rPr>
          <w:rFonts w:ascii="Garamond" w:eastAsia="Cambria" w:hAnsi="Garamond" w:cs="Times New Roman"/>
        </w:rPr>
        <w:t>,</w:t>
      </w:r>
      <w:r w:rsidRPr="00DE0DF2">
        <w:rPr>
          <w:rFonts w:ascii="Garamond" w:eastAsia="Cambria" w:hAnsi="Garamond" w:cs="Times New Roman"/>
        </w:rPr>
        <w:t xml:space="preserve"> and environmental or</w:t>
      </w:r>
      <w:r w:rsidR="00AF6A3F">
        <w:rPr>
          <w:rFonts w:ascii="Garamond" w:eastAsia="Cambria" w:hAnsi="Garamond" w:cs="Times New Roman"/>
        </w:rPr>
        <w:t>ganizations from around the United States</w:t>
      </w:r>
      <w:r w:rsidRPr="00DE0DF2">
        <w:rPr>
          <w:rFonts w:ascii="Garamond" w:eastAsia="Cambria" w:hAnsi="Garamond" w:cs="Times New Roman"/>
        </w:rPr>
        <w:t xml:space="preserve"> that share a commitment to federal policy that promotes sustainable agriculture production systems, family-based farms and ranches, and heal</w:t>
      </w:r>
      <w:r w:rsidR="001E79E6" w:rsidRPr="00DE0DF2">
        <w:rPr>
          <w:rFonts w:ascii="Garamond" w:eastAsia="Cambria" w:hAnsi="Garamond" w:cs="Times New Roman"/>
        </w:rPr>
        <w:t>thy,</w:t>
      </w:r>
      <w:r w:rsidR="00DF689A">
        <w:rPr>
          <w:rFonts w:ascii="Garamond" w:eastAsia="Cambria" w:hAnsi="Garamond" w:cs="Times New Roman"/>
        </w:rPr>
        <w:t xml:space="preserve"> and</w:t>
      </w:r>
      <w:r w:rsidR="001E79E6" w:rsidRPr="00DE0DF2">
        <w:rPr>
          <w:rFonts w:ascii="Garamond" w:eastAsia="Cambria" w:hAnsi="Garamond" w:cs="Times New Roman"/>
        </w:rPr>
        <w:t xml:space="preserve"> vibrant rural communities.</w:t>
      </w:r>
      <w:r w:rsidRPr="00DE0DF2">
        <w:rPr>
          <w:rFonts w:ascii="Garamond" w:eastAsia="Cambria" w:hAnsi="Garamond" w:cs="Times New Roman"/>
        </w:rPr>
        <w:t xml:space="preserve"> </w:t>
      </w:r>
      <w:r w:rsidR="004E51E1" w:rsidRPr="00DE0DF2">
        <w:rPr>
          <w:rFonts w:ascii="Garamond" w:eastAsia="Cambria" w:hAnsi="Garamond" w:cs="Times New Roman"/>
        </w:rPr>
        <w:t xml:space="preserve"> </w:t>
      </w:r>
      <w:r w:rsidRPr="00DE0DF2">
        <w:rPr>
          <w:rFonts w:ascii="Garamond" w:eastAsia="Cambria" w:hAnsi="Garamond" w:cs="Times New Roman"/>
        </w:rPr>
        <w:t xml:space="preserve">A </w:t>
      </w:r>
      <w:r w:rsidR="00B83B96">
        <w:rPr>
          <w:rFonts w:ascii="Garamond" w:eastAsia="Cambria" w:hAnsi="Garamond" w:cs="Times New Roman"/>
        </w:rPr>
        <w:t xml:space="preserve">complete </w:t>
      </w:r>
      <w:r w:rsidRPr="00DE0DF2">
        <w:rPr>
          <w:rFonts w:ascii="Garamond" w:eastAsia="Cambria" w:hAnsi="Garamond" w:cs="Times New Roman"/>
        </w:rPr>
        <w:t xml:space="preserve">list of represented member organizations is </w:t>
      </w:r>
      <w:r w:rsidR="00F06A94">
        <w:rPr>
          <w:rFonts w:ascii="Garamond" w:eastAsia="Cambria" w:hAnsi="Garamond" w:cs="Times New Roman"/>
        </w:rPr>
        <w:t xml:space="preserve">included at the end of these </w:t>
      </w:r>
      <w:r w:rsidR="00A83728">
        <w:rPr>
          <w:rFonts w:ascii="Garamond" w:eastAsia="Cambria" w:hAnsi="Garamond" w:cs="Times New Roman"/>
        </w:rPr>
        <w:t>recommendations</w:t>
      </w:r>
      <w:r w:rsidR="001267CA">
        <w:rPr>
          <w:rFonts w:ascii="Garamond" w:eastAsia="Cambria" w:hAnsi="Garamond" w:cs="Times New Roman"/>
        </w:rPr>
        <w:t xml:space="preserve"> (see page 6).</w:t>
      </w:r>
      <w:r w:rsidRPr="00DE0DF2">
        <w:rPr>
          <w:rFonts w:ascii="Garamond" w:eastAsia="Cambria" w:hAnsi="Garamond" w:cs="Times New Roman"/>
        </w:rPr>
        <w:t xml:space="preserve"> </w:t>
      </w:r>
    </w:p>
    <w:p w14:paraId="2ABBE2F2" w14:textId="77777777" w:rsidR="005137A1" w:rsidRPr="00DE0DF2" w:rsidRDefault="005137A1" w:rsidP="00CE75A6">
      <w:pPr>
        <w:rPr>
          <w:rFonts w:ascii="Garamond" w:eastAsia="Cambria" w:hAnsi="Garamond" w:cs="Times New Roman"/>
          <w:b/>
        </w:rPr>
      </w:pPr>
    </w:p>
    <w:p w14:paraId="3152EE61" w14:textId="15D42EA5" w:rsidR="00CE57B7" w:rsidRPr="00076D15" w:rsidRDefault="003C21DB" w:rsidP="003A74E1">
      <w:pPr>
        <w:rPr>
          <w:rFonts w:ascii="Garamond" w:hAnsi="Garamond"/>
        </w:rPr>
      </w:pPr>
      <w:r>
        <w:rPr>
          <w:rFonts w:ascii="Garamond" w:hAnsi="Garamond"/>
        </w:rPr>
        <w:t>Research, e</w:t>
      </w:r>
      <w:r w:rsidR="00C6708A">
        <w:rPr>
          <w:rFonts w:ascii="Garamond" w:hAnsi="Garamond"/>
        </w:rPr>
        <w:t xml:space="preserve">xtension, and education policies and programs are key issues </w:t>
      </w:r>
      <w:r>
        <w:rPr>
          <w:rFonts w:ascii="Garamond" w:hAnsi="Garamond"/>
        </w:rPr>
        <w:t>for our coalition</w:t>
      </w:r>
      <w:r w:rsidR="00AA1D2B">
        <w:rPr>
          <w:rFonts w:ascii="Garamond" w:hAnsi="Garamond"/>
        </w:rPr>
        <w:t>, and have been a core component of NSAC’s policy work over the past 25 years</w:t>
      </w:r>
      <w:r>
        <w:rPr>
          <w:rFonts w:ascii="Garamond" w:hAnsi="Garamond"/>
        </w:rPr>
        <w:t xml:space="preserve">.  </w:t>
      </w:r>
      <w:r w:rsidR="00AA1D2B">
        <w:rPr>
          <w:rFonts w:ascii="Garamond" w:hAnsi="Garamond"/>
        </w:rPr>
        <w:t>Our coalition’s research policy focus</w:t>
      </w:r>
      <w:r w:rsidR="00C6708A">
        <w:rPr>
          <w:rFonts w:ascii="Garamond" w:hAnsi="Garamond"/>
        </w:rPr>
        <w:t xml:space="preserve"> includes </w:t>
      </w:r>
      <w:r w:rsidR="00AF6A3F">
        <w:rPr>
          <w:rFonts w:ascii="Garamond" w:hAnsi="Garamond"/>
        </w:rPr>
        <w:t>organic</w:t>
      </w:r>
      <w:r>
        <w:rPr>
          <w:rFonts w:ascii="Garamond" w:hAnsi="Garamond"/>
        </w:rPr>
        <w:t xml:space="preserve"> research since many of our members </w:t>
      </w:r>
      <w:r w:rsidR="00A83728">
        <w:rPr>
          <w:rFonts w:ascii="Garamond" w:hAnsi="Garamond"/>
        </w:rPr>
        <w:t xml:space="preserve">operate </w:t>
      </w:r>
      <w:r w:rsidR="00AA1D2B">
        <w:rPr>
          <w:rFonts w:ascii="Garamond" w:hAnsi="Garamond"/>
        </w:rPr>
        <w:t>with</w:t>
      </w:r>
      <w:r w:rsidR="00A83728">
        <w:rPr>
          <w:rFonts w:ascii="Garamond" w:hAnsi="Garamond"/>
        </w:rPr>
        <w:t xml:space="preserve">in </w:t>
      </w:r>
      <w:r w:rsidR="00AF6A3F">
        <w:rPr>
          <w:rFonts w:ascii="Garamond" w:hAnsi="Garamond"/>
        </w:rPr>
        <w:t xml:space="preserve">the organic sector </w:t>
      </w:r>
      <w:r w:rsidR="00AA1D2B">
        <w:rPr>
          <w:rFonts w:ascii="Garamond" w:hAnsi="Garamond"/>
        </w:rPr>
        <w:t>and</w:t>
      </w:r>
      <w:r w:rsidR="00AF6A3F">
        <w:rPr>
          <w:rFonts w:ascii="Garamond" w:hAnsi="Garamond"/>
        </w:rPr>
        <w:t xml:space="preserve"> </w:t>
      </w:r>
      <w:r w:rsidR="00AA1D2B">
        <w:rPr>
          <w:rFonts w:ascii="Garamond" w:hAnsi="Garamond"/>
        </w:rPr>
        <w:t>work with or represent</w:t>
      </w:r>
      <w:r w:rsidR="00AF6A3F">
        <w:rPr>
          <w:rFonts w:ascii="Garamond" w:hAnsi="Garamond"/>
        </w:rPr>
        <w:t xml:space="preserve"> organic farmers</w:t>
      </w:r>
      <w:r w:rsidR="00AA1D2B">
        <w:rPr>
          <w:rFonts w:ascii="Garamond" w:hAnsi="Garamond"/>
        </w:rPr>
        <w:t xml:space="preserve"> and other stakeholders – including </w:t>
      </w:r>
      <w:r w:rsidR="00EA6505">
        <w:rPr>
          <w:rFonts w:ascii="Garamond" w:hAnsi="Garamond"/>
        </w:rPr>
        <w:t xml:space="preserve">organic certifiers, and researchers.  </w:t>
      </w:r>
    </w:p>
    <w:p w14:paraId="1FDF6F6E" w14:textId="77777777" w:rsidR="00076D15" w:rsidRPr="00076D15" w:rsidRDefault="00076D15" w:rsidP="003A74E1">
      <w:pPr>
        <w:rPr>
          <w:rFonts w:ascii="Garamond" w:hAnsi="Garamond"/>
        </w:rPr>
      </w:pPr>
    </w:p>
    <w:p w14:paraId="2C0C90C5" w14:textId="7AA56DDE" w:rsidR="003A74E1" w:rsidRDefault="00076D15" w:rsidP="00CE75A6">
      <w:pPr>
        <w:rPr>
          <w:rFonts w:ascii="Garamond" w:hAnsi="Garamond"/>
        </w:rPr>
      </w:pPr>
      <w:r w:rsidRPr="00076D15">
        <w:rPr>
          <w:rFonts w:ascii="Garamond" w:hAnsi="Garamond"/>
        </w:rPr>
        <w:t>Overall NSAC</w:t>
      </w:r>
      <w:r w:rsidR="00380DF0">
        <w:rPr>
          <w:rFonts w:ascii="Garamond" w:hAnsi="Garamond"/>
        </w:rPr>
        <w:t xml:space="preserve"> is pleased with the</w:t>
      </w:r>
      <w:r w:rsidR="00EA6505">
        <w:rPr>
          <w:rFonts w:ascii="Garamond" w:hAnsi="Garamond"/>
        </w:rPr>
        <w:t xml:space="preserve"> </w:t>
      </w:r>
      <w:r w:rsidR="007E133A">
        <w:rPr>
          <w:rFonts w:ascii="Garamond" w:hAnsi="Garamond"/>
        </w:rPr>
        <w:t>FY</w:t>
      </w:r>
      <w:r w:rsidR="00533568">
        <w:rPr>
          <w:rFonts w:ascii="Garamond" w:hAnsi="Garamond"/>
        </w:rPr>
        <w:t>2015</w:t>
      </w:r>
      <w:r w:rsidR="00EA6505">
        <w:rPr>
          <w:rFonts w:ascii="Garamond" w:hAnsi="Garamond"/>
        </w:rPr>
        <w:t xml:space="preserve"> OREI</w:t>
      </w:r>
      <w:r w:rsidR="00380DF0">
        <w:rPr>
          <w:rFonts w:ascii="Garamond" w:hAnsi="Garamond"/>
        </w:rPr>
        <w:t xml:space="preserve"> RFA</w:t>
      </w:r>
      <w:r w:rsidR="00EA6505">
        <w:rPr>
          <w:rFonts w:ascii="Garamond" w:hAnsi="Garamond"/>
        </w:rPr>
        <w:t>,</w:t>
      </w:r>
      <w:r w:rsidR="00533568">
        <w:rPr>
          <w:rFonts w:ascii="Garamond" w:hAnsi="Garamond"/>
        </w:rPr>
        <w:t xml:space="preserve"> we were happy to see several of the recommendations we made for chang</w:t>
      </w:r>
      <w:r w:rsidR="00DF689A">
        <w:rPr>
          <w:rFonts w:ascii="Garamond" w:hAnsi="Garamond"/>
        </w:rPr>
        <w:t>es to the FY2014 RFA included for</w:t>
      </w:r>
      <w:r w:rsidR="00533568">
        <w:rPr>
          <w:rFonts w:ascii="Garamond" w:hAnsi="Garamond"/>
        </w:rPr>
        <w:t xml:space="preserve"> </w:t>
      </w:r>
      <w:r w:rsidR="00DF689A">
        <w:rPr>
          <w:rFonts w:ascii="Garamond" w:hAnsi="Garamond"/>
        </w:rPr>
        <w:t>FY2015</w:t>
      </w:r>
      <w:r w:rsidR="00533568">
        <w:rPr>
          <w:rFonts w:ascii="Garamond" w:hAnsi="Garamond"/>
        </w:rPr>
        <w:t xml:space="preserve">.  We </w:t>
      </w:r>
      <w:r w:rsidR="007E06D6">
        <w:rPr>
          <w:rFonts w:ascii="Garamond" w:hAnsi="Garamond"/>
        </w:rPr>
        <w:t>have a few new recommendations that are outlined in the attached document.</w:t>
      </w:r>
    </w:p>
    <w:p w14:paraId="54EBE67F" w14:textId="77777777" w:rsidR="007E06D6" w:rsidRPr="00076D15" w:rsidRDefault="007E06D6" w:rsidP="00CE75A6">
      <w:pPr>
        <w:rPr>
          <w:rFonts w:ascii="Garamond" w:hAnsi="Garamond"/>
        </w:rPr>
      </w:pPr>
    </w:p>
    <w:p w14:paraId="137727AE" w14:textId="404FF2C8" w:rsidR="005137A1" w:rsidRPr="00DE0DF2" w:rsidRDefault="005137A1" w:rsidP="00CE75A6">
      <w:pPr>
        <w:rPr>
          <w:rFonts w:ascii="Garamond" w:hAnsi="Garamond"/>
        </w:rPr>
      </w:pPr>
      <w:r w:rsidRPr="00DE0DF2">
        <w:rPr>
          <w:rFonts w:ascii="Garamond" w:hAnsi="Garamond"/>
        </w:rPr>
        <w:t xml:space="preserve">We appreciate the opportunity to submit </w:t>
      </w:r>
      <w:r w:rsidR="00A83728">
        <w:rPr>
          <w:rFonts w:ascii="Garamond" w:hAnsi="Garamond"/>
        </w:rPr>
        <w:t xml:space="preserve">recommendations </w:t>
      </w:r>
      <w:r w:rsidR="005B0A8F">
        <w:rPr>
          <w:rFonts w:ascii="Garamond" w:hAnsi="Garamond"/>
        </w:rPr>
        <w:t xml:space="preserve">responding to the </w:t>
      </w:r>
      <w:r w:rsidR="00840106">
        <w:rPr>
          <w:rFonts w:ascii="Garamond" w:hAnsi="Garamond"/>
        </w:rPr>
        <w:t>FY</w:t>
      </w:r>
      <w:r w:rsidR="00821D9B">
        <w:rPr>
          <w:rFonts w:ascii="Garamond" w:hAnsi="Garamond"/>
        </w:rPr>
        <w:t>2015</w:t>
      </w:r>
      <w:r w:rsidR="005B0A8F">
        <w:rPr>
          <w:rFonts w:ascii="Garamond" w:hAnsi="Garamond"/>
        </w:rPr>
        <w:t xml:space="preserve"> </w:t>
      </w:r>
      <w:r w:rsidR="00840106">
        <w:rPr>
          <w:rFonts w:ascii="Garamond" w:hAnsi="Garamond"/>
        </w:rPr>
        <w:t xml:space="preserve">OREI </w:t>
      </w:r>
      <w:r w:rsidR="005B0A8F">
        <w:rPr>
          <w:rFonts w:ascii="Garamond" w:hAnsi="Garamond"/>
        </w:rPr>
        <w:t xml:space="preserve">RFA.  We </w:t>
      </w:r>
      <w:r w:rsidR="00621638">
        <w:rPr>
          <w:rFonts w:ascii="Garamond" w:hAnsi="Garamond"/>
        </w:rPr>
        <w:t>would be happy to provide additional input or clarification if needed</w:t>
      </w:r>
      <w:r w:rsidR="002D3847">
        <w:rPr>
          <w:rFonts w:ascii="Garamond" w:hAnsi="Garamond"/>
        </w:rPr>
        <w:t>, and would welcome the opportunity to discuss these recommendations further</w:t>
      </w:r>
      <w:r w:rsidR="000D61D4" w:rsidRPr="00DE0DF2">
        <w:rPr>
          <w:rFonts w:ascii="Garamond" w:hAnsi="Garamond"/>
        </w:rPr>
        <w:t xml:space="preserve">.  </w:t>
      </w:r>
      <w:r w:rsidRPr="00DE0DF2">
        <w:rPr>
          <w:rFonts w:ascii="Garamond" w:hAnsi="Garamond"/>
        </w:rPr>
        <w:t xml:space="preserve">Thank you for considering our </w:t>
      </w:r>
      <w:r w:rsidR="00A83728">
        <w:rPr>
          <w:rFonts w:ascii="Garamond" w:hAnsi="Garamond"/>
        </w:rPr>
        <w:t>recommendations</w:t>
      </w:r>
      <w:r w:rsidRPr="00DE0DF2">
        <w:rPr>
          <w:rFonts w:ascii="Garamond" w:hAnsi="Garamond"/>
        </w:rPr>
        <w:t>.</w:t>
      </w:r>
    </w:p>
    <w:p w14:paraId="5D39EF70" w14:textId="77777777" w:rsidR="005137A1" w:rsidRPr="00DE0DF2" w:rsidRDefault="005137A1" w:rsidP="00CE75A6">
      <w:pPr>
        <w:rPr>
          <w:rFonts w:ascii="Garamond" w:hAnsi="Garamond"/>
        </w:rPr>
      </w:pPr>
    </w:p>
    <w:p w14:paraId="12A3827E" w14:textId="77777777" w:rsidR="005137A1" w:rsidRPr="00DE0DF2" w:rsidRDefault="005137A1" w:rsidP="00CE75A6">
      <w:pPr>
        <w:rPr>
          <w:rFonts w:ascii="Garamond" w:hAnsi="Garamond"/>
        </w:rPr>
      </w:pPr>
      <w:r w:rsidRPr="00DE0DF2">
        <w:rPr>
          <w:rFonts w:ascii="Garamond" w:hAnsi="Garamond"/>
        </w:rPr>
        <w:t>Sincerely,</w:t>
      </w:r>
    </w:p>
    <w:p w14:paraId="25D1D758" w14:textId="300EA05F" w:rsidR="00DE0DF2" w:rsidRDefault="00DE0DF2" w:rsidP="007D1415">
      <w:pPr>
        <w:ind w:hanging="180"/>
        <w:rPr>
          <w:rFonts w:ascii="Garamond" w:hAnsi="Garamond"/>
        </w:rPr>
      </w:pPr>
      <w:r w:rsidRPr="002E07AC">
        <w:rPr>
          <w:rFonts w:ascii="Garamond" w:hAnsi="Garamond"/>
          <w:b/>
          <w:noProof/>
          <w:lang w:eastAsia="en-US"/>
        </w:rPr>
        <w:drawing>
          <wp:inline distT="0" distB="0" distL="0" distR="0" wp14:anchorId="6172470B" wp14:editId="781C5579">
            <wp:extent cx="1478280" cy="36766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78280" cy="367665"/>
                    </a:xfrm>
                    <a:prstGeom prst="rect">
                      <a:avLst/>
                    </a:prstGeom>
                    <a:noFill/>
                    <a:ln>
                      <a:noFill/>
                    </a:ln>
                  </pic:spPr>
                </pic:pic>
              </a:graphicData>
            </a:graphic>
          </wp:inline>
        </w:drawing>
      </w:r>
      <w:r w:rsidR="000D2B60">
        <w:rPr>
          <w:rFonts w:ascii="Garamond" w:hAnsi="Garamond"/>
        </w:rPr>
        <w:tab/>
      </w:r>
      <w:r w:rsidR="000D2B60">
        <w:rPr>
          <w:rFonts w:ascii="Garamond" w:hAnsi="Garamond"/>
        </w:rPr>
        <w:tab/>
      </w:r>
      <w:r w:rsidR="000D2B60">
        <w:rPr>
          <w:rFonts w:ascii="Garamond" w:hAnsi="Garamond"/>
        </w:rPr>
        <w:tab/>
      </w:r>
      <w:r w:rsidR="000D2B60">
        <w:rPr>
          <w:rFonts w:ascii="Garamond" w:hAnsi="Garamond"/>
        </w:rPr>
        <w:tab/>
      </w:r>
      <w:r w:rsidR="002D3847">
        <w:rPr>
          <w:rFonts w:ascii="Garamond" w:hAnsi="Garamond"/>
        </w:rPr>
        <w:tab/>
      </w:r>
      <w:r w:rsidR="000D2B60">
        <w:rPr>
          <w:rFonts w:ascii="Garamond" w:hAnsi="Garamond"/>
          <w:noProof/>
          <w:lang w:eastAsia="en-US"/>
        </w:rPr>
        <w:drawing>
          <wp:inline distT="0" distB="0" distL="0" distR="0" wp14:anchorId="0BFAB861" wp14:editId="2C8011A5">
            <wp:extent cx="1471107" cy="479789"/>
            <wp:effectExtent l="0" t="0" r="2540" b="317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73228" cy="480481"/>
                    </a:xfrm>
                    <a:prstGeom prst="rect">
                      <a:avLst/>
                    </a:prstGeom>
                    <a:noFill/>
                    <a:ln>
                      <a:noFill/>
                    </a:ln>
                  </pic:spPr>
                </pic:pic>
              </a:graphicData>
            </a:graphic>
          </wp:inline>
        </w:drawing>
      </w:r>
    </w:p>
    <w:p w14:paraId="54073251" w14:textId="77777777" w:rsidR="005137A1" w:rsidRPr="00DE0DF2" w:rsidRDefault="000D61D4" w:rsidP="000D61D4">
      <w:pPr>
        <w:tabs>
          <w:tab w:val="left" w:pos="2440"/>
        </w:tabs>
        <w:rPr>
          <w:rFonts w:ascii="Garamond" w:hAnsi="Garamond"/>
        </w:rPr>
      </w:pPr>
      <w:r w:rsidRPr="00DE0DF2">
        <w:rPr>
          <w:rFonts w:ascii="Garamond" w:hAnsi="Garamond"/>
        </w:rPr>
        <w:t xml:space="preserve">Ferd Hoefner </w:t>
      </w:r>
      <w:r w:rsidRPr="00DE0DF2">
        <w:rPr>
          <w:rFonts w:ascii="Garamond" w:hAnsi="Garamond"/>
        </w:rPr>
        <w:tab/>
      </w:r>
      <w:r w:rsidRPr="00DE0DF2">
        <w:rPr>
          <w:rFonts w:ascii="Garamond" w:hAnsi="Garamond"/>
        </w:rPr>
        <w:tab/>
      </w:r>
      <w:r w:rsidRPr="00DE0DF2">
        <w:rPr>
          <w:rFonts w:ascii="Garamond" w:hAnsi="Garamond"/>
        </w:rPr>
        <w:tab/>
      </w:r>
      <w:r w:rsidRPr="00DE0DF2">
        <w:rPr>
          <w:rFonts w:ascii="Garamond" w:hAnsi="Garamond"/>
        </w:rPr>
        <w:tab/>
      </w:r>
      <w:r w:rsidRPr="00DE0DF2">
        <w:rPr>
          <w:rFonts w:ascii="Garamond" w:hAnsi="Garamond"/>
        </w:rPr>
        <w:tab/>
        <w:t xml:space="preserve">Paul Wolfe </w:t>
      </w:r>
    </w:p>
    <w:p w14:paraId="33221DD3" w14:textId="77777777" w:rsidR="005137A1" w:rsidRPr="00DE0DF2" w:rsidRDefault="000D61D4" w:rsidP="00CE75A6">
      <w:pPr>
        <w:rPr>
          <w:rFonts w:ascii="Garamond" w:hAnsi="Garamond"/>
        </w:rPr>
      </w:pPr>
      <w:r w:rsidRPr="00DE0DF2">
        <w:rPr>
          <w:rFonts w:ascii="Garamond" w:hAnsi="Garamond"/>
        </w:rPr>
        <w:t>Policy Director</w:t>
      </w:r>
      <w:r w:rsidRPr="00DE0DF2">
        <w:rPr>
          <w:rFonts w:ascii="Garamond" w:hAnsi="Garamond"/>
        </w:rPr>
        <w:tab/>
      </w:r>
      <w:r w:rsidRPr="00DE0DF2">
        <w:rPr>
          <w:rFonts w:ascii="Garamond" w:hAnsi="Garamond"/>
        </w:rPr>
        <w:tab/>
      </w:r>
      <w:r w:rsidRPr="00DE0DF2">
        <w:rPr>
          <w:rFonts w:ascii="Garamond" w:hAnsi="Garamond"/>
        </w:rPr>
        <w:tab/>
      </w:r>
      <w:r w:rsidRPr="00DE0DF2">
        <w:rPr>
          <w:rFonts w:ascii="Garamond" w:hAnsi="Garamond"/>
        </w:rPr>
        <w:tab/>
      </w:r>
      <w:r w:rsidRPr="00DE0DF2">
        <w:rPr>
          <w:rFonts w:ascii="Garamond" w:hAnsi="Garamond"/>
        </w:rPr>
        <w:tab/>
      </w:r>
      <w:r w:rsidRPr="00DE0DF2">
        <w:rPr>
          <w:rFonts w:ascii="Garamond" w:hAnsi="Garamond"/>
        </w:rPr>
        <w:tab/>
        <w:t>Policy Specialist</w:t>
      </w:r>
    </w:p>
    <w:p w14:paraId="19C1EDC4" w14:textId="77777777" w:rsidR="00734040" w:rsidRDefault="00734040" w:rsidP="002E07AC">
      <w:pPr>
        <w:rPr>
          <w:rFonts w:ascii="Garamond" w:hAnsi="Garamond"/>
          <w:b/>
          <w:bCs/>
          <w:smallCaps/>
          <w:u w:val="single"/>
        </w:rPr>
      </w:pPr>
    </w:p>
    <w:p w14:paraId="256B6ADE" w14:textId="77777777" w:rsidR="007E06D6" w:rsidRDefault="007E06D6" w:rsidP="002E07AC">
      <w:pPr>
        <w:rPr>
          <w:rFonts w:ascii="Garamond" w:hAnsi="Garamond"/>
          <w:b/>
          <w:bCs/>
          <w:smallCaps/>
          <w:u w:val="single"/>
        </w:rPr>
      </w:pPr>
    </w:p>
    <w:p w14:paraId="24EF9134" w14:textId="77777777" w:rsidR="007E06D6" w:rsidRDefault="007E06D6" w:rsidP="002E07AC">
      <w:pPr>
        <w:rPr>
          <w:rFonts w:ascii="Garamond" w:hAnsi="Garamond"/>
          <w:b/>
          <w:bCs/>
          <w:smallCaps/>
          <w:u w:val="single"/>
        </w:rPr>
      </w:pPr>
    </w:p>
    <w:p w14:paraId="599E72D8" w14:textId="5CC1D4EE" w:rsidR="007524D1" w:rsidRPr="00B3506C" w:rsidRDefault="00D75482" w:rsidP="002E07AC">
      <w:pPr>
        <w:rPr>
          <w:rFonts w:ascii="Garamond" w:hAnsi="Garamond"/>
          <w:b/>
          <w:bCs/>
          <w:smallCaps/>
          <w:u w:val="single"/>
        </w:rPr>
      </w:pPr>
      <w:r w:rsidRPr="00B3506C">
        <w:rPr>
          <w:rFonts w:ascii="Garamond" w:hAnsi="Garamond"/>
          <w:b/>
          <w:bCs/>
          <w:smallCaps/>
          <w:u w:val="single"/>
        </w:rPr>
        <w:t xml:space="preserve">Existing </w:t>
      </w:r>
      <w:r w:rsidR="007524D1" w:rsidRPr="00B3506C">
        <w:rPr>
          <w:rFonts w:ascii="Garamond" w:hAnsi="Garamond"/>
          <w:b/>
          <w:bCs/>
          <w:smallCaps/>
          <w:u w:val="single"/>
        </w:rPr>
        <w:t>Provisions Recommended for Retention</w:t>
      </w:r>
    </w:p>
    <w:p w14:paraId="39929434" w14:textId="77777777" w:rsidR="007524D1" w:rsidRDefault="007524D1" w:rsidP="002E07AC">
      <w:pPr>
        <w:rPr>
          <w:rFonts w:ascii="Garamond" w:hAnsi="Garamond"/>
          <w:b/>
        </w:rPr>
      </w:pPr>
    </w:p>
    <w:p w14:paraId="16439407" w14:textId="0E95EE1C" w:rsidR="007524D1" w:rsidRDefault="007524D1" w:rsidP="002E07AC">
      <w:pPr>
        <w:rPr>
          <w:rFonts w:ascii="Garamond" w:hAnsi="Garamond"/>
          <w:b/>
        </w:rPr>
      </w:pPr>
      <w:r w:rsidRPr="008759AA">
        <w:rPr>
          <w:rFonts w:ascii="Garamond" w:hAnsi="Garamond"/>
          <w:b/>
        </w:rPr>
        <w:t>1.</w:t>
      </w:r>
      <w:r w:rsidR="00CE2485" w:rsidRPr="008759AA">
        <w:rPr>
          <w:rFonts w:ascii="Garamond" w:hAnsi="Garamond"/>
          <w:b/>
        </w:rPr>
        <w:t xml:space="preserve"> </w:t>
      </w:r>
      <w:r w:rsidR="003D28BE">
        <w:rPr>
          <w:rFonts w:ascii="Garamond" w:hAnsi="Garamond"/>
          <w:b/>
        </w:rPr>
        <w:t xml:space="preserve"> </w:t>
      </w:r>
      <w:r w:rsidR="00D75482">
        <w:rPr>
          <w:rFonts w:ascii="Garamond" w:hAnsi="Garamond"/>
          <w:b/>
        </w:rPr>
        <w:t>Retain Planning G</w:t>
      </w:r>
      <w:r w:rsidR="00293D76" w:rsidRPr="008759AA">
        <w:rPr>
          <w:rFonts w:ascii="Garamond" w:hAnsi="Garamond"/>
          <w:b/>
        </w:rPr>
        <w:t>rants as an eligible activity in order to ensure that non-profit organization</w:t>
      </w:r>
      <w:r w:rsidR="001C1C82">
        <w:rPr>
          <w:rFonts w:ascii="Garamond" w:hAnsi="Garamond"/>
          <w:b/>
        </w:rPr>
        <w:t>s</w:t>
      </w:r>
      <w:r w:rsidR="00293D76" w:rsidRPr="008759AA">
        <w:rPr>
          <w:rFonts w:ascii="Garamond" w:hAnsi="Garamond"/>
          <w:b/>
        </w:rPr>
        <w:t xml:space="preserve"> and limited resource organization</w:t>
      </w:r>
      <w:r w:rsidR="001C1C82">
        <w:rPr>
          <w:rFonts w:ascii="Garamond" w:hAnsi="Garamond"/>
          <w:b/>
        </w:rPr>
        <w:t>s</w:t>
      </w:r>
      <w:r w:rsidR="00293D76" w:rsidRPr="008759AA">
        <w:rPr>
          <w:rFonts w:ascii="Garamond" w:hAnsi="Garamond"/>
          <w:b/>
        </w:rPr>
        <w:t xml:space="preserve"> can develop</w:t>
      </w:r>
      <w:r w:rsidR="001C1C82">
        <w:rPr>
          <w:rFonts w:ascii="Garamond" w:hAnsi="Garamond"/>
          <w:b/>
        </w:rPr>
        <w:t xml:space="preserve"> quality and</w:t>
      </w:r>
      <w:r w:rsidR="00293D76" w:rsidRPr="008759AA">
        <w:rPr>
          <w:rFonts w:ascii="Garamond" w:hAnsi="Garamond"/>
          <w:b/>
        </w:rPr>
        <w:t xml:space="preserve"> competitive</w:t>
      </w:r>
      <w:r w:rsidR="00807D5B">
        <w:rPr>
          <w:rFonts w:ascii="Garamond" w:hAnsi="Garamond"/>
          <w:b/>
        </w:rPr>
        <w:t xml:space="preserve"> proposals. (Part IIC</w:t>
      </w:r>
      <w:r w:rsidR="00D75482">
        <w:rPr>
          <w:rFonts w:ascii="Garamond" w:hAnsi="Garamond"/>
          <w:b/>
        </w:rPr>
        <w:t xml:space="preserve"> </w:t>
      </w:r>
      <w:r w:rsidR="00807D5B">
        <w:rPr>
          <w:rFonts w:ascii="Garamond" w:hAnsi="Garamond"/>
          <w:b/>
        </w:rPr>
        <w:t>(3))</w:t>
      </w:r>
    </w:p>
    <w:p w14:paraId="36CAB10B" w14:textId="77777777" w:rsidR="0059233B" w:rsidRDefault="0059233B" w:rsidP="002E07AC">
      <w:pPr>
        <w:rPr>
          <w:rFonts w:ascii="Garamond" w:hAnsi="Garamond"/>
          <w:b/>
        </w:rPr>
      </w:pPr>
    </w:p>
    <w:p w14:paraId="45828CDA" w14:textId="589D2D67" w:rsidR="00B3506C" w:rsidRDefault="00B132F9" w:rsidP="002E07AC">
      <w:pPr>
        <w:rPr>
          <w:rFonts w:ascii="Garamond" w:eastAsia="Times New Roman" w:hAnsi="Garamond" w:cs="Times New Roman"/>
        </w:rPr>
      </w:pPr>
      <w:r>
        <w:rPr>
          <w:rFonts w:ascii="Garamond" w:eastAsia="Times New Roman" w:hAnsi="Garamond" w:cs="Times New Roman"/>
        </w:rPr>
        <w:t>NSAC appreciated</w:t>
      </w:r>
      <w:r w:rsidR="00B3506C">
        <w:rPr>
          <w:rFonts w:ascii="Garamond" w:eastAsia="Times New Roman" w:hAnsi="Garamond" w:cs="Times New Roman"/>
        </w:rPr>
        <w:t xml:space="preserve"> the return of Planning Gran</w:t>
      </w:r>
      <w:r>
        <w:rPr>
          <w:rFonts w:ascii="Garamond" w:eastAsia="Times New Roman" w:hAnsi="Garamond" w:cs="Times New Roman"/>
        </w:rPr>
        <w:t>ts to the FY2014 RFA</w:t>
      </w:r>
      <w:r w:rsidR="000C4A7B">
        <w:rPr>
          <w:rFonts w:ascii="Garamond" w:eastAsia="Times New Roman" w:hAnsi="Garamond" w:cs="Times New Roman"/>
        </w:rPr>
        <w:t>, and their retention in FY2015</w:t>
      </w:r>
      <w:r w:rsidR="00B3506C">
        <w:rPr>
          <w:rFonts w:ascii="Garamond" w:eastAsia="Times New Roman" w:hAnsi="Garamond" w:cs="Times New Roman"/>
        </w:rPr>
        <w:t xml:space="preserve">.  Planning Grants are important to our members because they allow limited resource organizations to develop well-organized projects and better applications for future RFA’s.  </w:t>
      </w:r>
      <w:r w:rsidR="000B36EC">
        <w:rPr>
          <w:rFonts w:ascii="Garamond" w:eastAsia="Times New Roman" w:hAnsi="Garamond" w:cs="Times New Roman"/>
        </w:rPr>
        <w:t>Planning Grants result in</w:t>
      </w:r>
      <w:r w:rsidR="00B3506C">
        <w:rPr>
          <w:rFonts w:ascii="Garamond" w:eastAsia="Times New Roman" w:hAnsi="Garamond" w:cs="Times New Roman"/>
        </w:rPr>
        <w:t xml:space="preserve"> better developed research proposals, whether ultimately funded by OREI or through another source, which translates into better results for organic producers.</w:t>
      </w:r>
      <w:r w:rsidR="007E06D6">
        <w:rPr>
          <w:rFonts w:ascii="Garamond" w:eastAsia="Times New Roman" w:hAnsi="Garamond" w:cs="Times New Roman"/>
        </w:rPr>
        <w:t xml:space="preserve">  The use of a planning grant to begin to address the emergence of the</w:t>
      </w:r>
      <w:r w:rsidR="009D6C8E">
        <w:rPr>
          <w:rFonts w:ascii="Garamond" w:eastAsia="Times New Roman" w:hAnsi="Garamond" w:cs="Times New Roman"/>
        </w:rPr>
        <w:t xml:space="preserve"> invasive exotic fruit pest</w:t>
      </w:r>
      <w:r w:rsidR="007E06D6">
        <w:rPr>
          <w:rFonts w:ascii="Garamond" w:eastAsia="Times New Roman" w:hAnsi="Garamond" w:cs="Times New Roman"/>
        </w:rPr>
        <w:t xml:space="preserve"> Spotted Wing </w:t>
      </w:r>
      <w:r w:rsidR="008A647B">
        <w:rPr>
          <w:rFonts w:ascii="Garamond" w:eastAsia="Times New Roman" w:hAnsi="Garamond" w:cs="Times New Roman"/>
        </w:rPr>
        <w:t>Drosophila</w:t>
      </w:r>
      <w:bookmarkStart w:id="0" w:name="_GoBack"/>
      <w:bookmarkEnd w:id="0"/>
      <w:r w:rsidR="00A0522B">
        <w:rPr>
          <w:rFonts w:ascii="Garamond" w:eastAsia="Times New Roman" w:hAnsi="Garamond" w:cs="Times New Roman"/>
        </w:rPr>
        <w:t xml:space="preserve"> is a good example of the</w:t>
      </w:r>
      <w:r w:rsidR="007E06D6">
        <w:rPr>
          <w:rFonts w:ascii="Garamond" w:eastAsia="Times New Roman" w:hAnsi="Garamond" w:cs="Times New Roman"/>
        </w:rPr>
        <w:t xml:space="preserve"> proper use of a planning grant.</w:t>
      </w:r>
    </w:p>
    <w:p w14:paraId="11EACB46" w14:textId="77777777" w:rsidR="00293D76" w:rsidRDefault="00293D76" w:rsidP="002E07AC">
      <w:pPr>
        <w:rPr>
          <w:rFonts w:ascii="Garamond" w:hAnsi="Garamond"/>
        </w:rPr>
      </w:pPr>
    </w:p>
    <w:p w14:paraId="405F1B30" w14:textId="63B10F91" w:rsidR="00293D76" w:rsidRDefault="00D75482" w:rsidP="002E07AC">
      <w:pPr>
        <w:rPr>
          <w:rFonts w:ascii="Garamond" w:hAnsi="Garamond"/>
          <w:b/>
        </w:rPr>
      </w:pPr>
      <w:r>
        <w:rPr>
          <w:rFonts w:ascii="Garamond" w:hAnsi="Garamond"/>
          <w:b/>
        </w:rPr>
        <w:t>2.  Retain C</w:t>
      </w:r>
      <w:r w:rsidR="00293D76" w:rsidRPr="008759AA">
        <w:rPr>
          <w:rFonts w:ascii="Garamond" w:hAnsi="Garamond"/>
          <w:b/>
        </w:rPr>
        <w:t xml:space="preserve">onference </w:t>
      </w:r>
      <w:r>
        <w:rPr>
          <w:rFonts w:ascii="Garamond" w:hAnsi="Garamond"/>
          <w:b/>
        </w:rPr>
        <w:t>Proposals</w:t>
      </w:r>
      <w:r w:rsidR="00293D76" w:rsidRPr="008759AA">
        <w:rPr>
          <w:rFonts w:ascii="Garamond" w:hAnsi="Garamond"/>
          <w:b/>
        </w:rPr>
        <w:t xml:space="preserve"> in order to support the </w:t>
      </w:r>
      <w:r w:rsidR="00003BAE" w:rsidRPr="008759AA">
        <w:rPr>
          <w:rFonts w:ascii="Garamond" w:hAnsi="Garamond"/>
          <w:b/>
        </w:rPr>
        <w:t>stated extension</w:t>
      </w:r>
      <w:r w:rsidR="007D1415">
        <w:rPr>
          <w:rFonts w:ascii="Garamond" w:hAnsi="Garamond"/>
          <w:b/>
        </w:rPr>
        <w:t xml:space="preserve"> </w:t>
      </w:r>
      <w:r w:rsidR="00293D76" w:rsidRPr="008759AA">
        <w:rPr>
          <w:rFonts w:ascii="Garamond" w:hAnsi="Garamond"/>
          <w:b/>
        </w:rPr>
        <w:t>emphasis</w:t>
      </w:r>
      <w:r w:rsidR="00003BAE" w:rsidRPr="008759AA">
        <w:rPr>
          <w:rFonts w:ascii="Garamond" w:hAnsi="Garamond"/>
          <w:b/>
        </w:rPr>
        <w:t>,</w:t>
      </w:r>
      <w:r>
        <w:rPr>
          <w:rFonts w:ascii="Garamond" w:hAnsi="Garamond"/>
          <w:b/>
        </w:rPr>
        <w:t xml:space="preserve"> which is important to ensuring</w:t>
      </w:r>
      <w:r w:rsidR="00293D76" w:rsidRPr="008759AA">
        <w:rPr>
          <w:rFonts w:ascii="Garamond" w:hAnsi="Garamond"/>
          <w:b/>
        </w:rPr>
        <w:t xml:space="preserve"> that research results are disseminated to farmers</w:t>
      </w:r>
      <w:r w:rsidR="001C1C82">
        <w:rPr>
          <w:rFonts w:ascii="Garamond" w:hAnsi="Garamond"/>
          <w:b/>
        </w:rPr>
        <w:t xml:space="preserve"> in a useful way</w:t>
      </w:r>
      <w:r w:rsidR="00293D76" w:rsidRPr="008759AA">
        <w:rPr>
          <w:rFonts w:ascii="Garamond" w:hAnsi="Garamond"/>
          <w:b/>
        </w:rPr>
        <w:t>.</w:t>
      </w:r>
      <w:r w:rsidR="00807D5B">
        <w:rPr>
          <w:rFonts w:ascii="Garamond" w:hAnsi="Garamond"/>
          <w:b/>
        </w:rPr>
        <w:t xml:space="preserve"> (Part </w:t>
      </w:r>
      <w:r w:rsidR="00E10824">
        <w:rPr>
          <w:rFonts w:ascii="Garamond" w:hAnsi="Garamond"/>
          <w:b/>
        </w:rPr>
        <w:t>IIC (</w:t>
      </w:r>
      <w:r w:rsidR="00807D5B">
        <w:rPr>
          <w:rFonts w:ascii="Garamond" w:hAnsi="Garamond"/>
          <w:b/>
        </w:rPr>
        <w:t>2)</w:t>
      </w:r>
      <w:r w:rsidR="00293D76" w:rsidRPr="008759AA">
        <w:rPr>
          <w:rFonts w:ascii="Garamond" w:hAnsi="Garamond"/>
          <w:b/>
        </w:rPr>
        <w:t xml:space="preserve"> </w:t>
      </w:r>
    </w:p>
    <w:p w14:paraId="36784BBF" w14:textId="77777777" w:rsidR="0059233B" w:rsidRDefault="0059233B" w:rsidP="002E07AC">
      <w:pPr>
        <w:rPr>
          <w:rFonts w:ascii="Garamond" w:hAnsi="Garamond"/>
          <w:b/>
        </w:rPr>
      </w:pPr>
    </w:p>
    <w:p w14:paraId="302B1D2A" w14:textId="1AAF1322" w:rsidR="00CE2485" w:rsidRDefault="001C1C82" w:rsidP="002E07AC">
      <w:pPr>
        <w:rPr>
          <w:rFonts w:ascii="Garamond" w:hAnsi="Garamond"/>
        </w:rPr>
      </w:pPr>
      <w:r>
        <w:rPr>
          <w:rFonts w:ascii="Garamond" w:hAnsi="Garamond"/>
        </w:rPr>
        <w:t xml:space="preserve">Conference </w:t>
      </w:r>
      <w:r w:rsidR="00D75482">
        <w:rPr>
          <w:rFonts w:ascii="Garamond" w:hAnsi="Garamond"/>
        </w:rPr>
        <w:t>Proposals</w:t>
      </w:r>
      <w:r>
        <w:rPr>
          <w:rFonts w:ascii="Garamond" w:hAnsi="Garamond"/>
        </w:rPr>
        <w:t xml:space="preserve"> have been </w:t>
      </w:r>
      <w:r w:rsidR="00D75482">
        <w:rPr>
          <w:rFonts w:ascii="Garamond" w:hAnsi="Garamond"/>
        </w:rPr>
        <w:t>allowed</w:t>
      </w:r>
      <w:r>
        <w:rPr>
          <w:rFonts w:ascii="Garamond" w:hAnsi="Garamond"/>
        </w:rPr>
        <w:t xml:space="preserve"> for at least several years and NSAC </w:t>
      </w:r>
      <w:r w:rsidR="00D75482">
        <w:rPr>
          <w:rFonts w:ascii="Garamond" w:hAnsi="Garamond"/>
        </w:rPr>
        <w:t>members find them very useful for</w:t>
      </w:r>
      <w:r>
        <w:rPr>
          <w:rFonts w:ascii="Garamond" w:hAnsi="Garamond"/>
        </w:rPr>
        <w:t xml:space="preserve"> disseminating research results to the organic community.  These grants serve an important function that is not available through other grant programs </w:t>
      </w:r>
      <w:r w:rsidR="00A83728">
        <w:rPr>
          <w:rFonts w:ascii="Garamond" w:hAnsi="Garamond"/>
        </w:rPr>
        <w:t>benefiting</w:t>
      </w:r>
      <w:r>
        <w:rPr>
          <w:rFonts w:ascii="Garamond" w:hAnsi="Garamond"/>
        </w:rPr>
        <w:t xml:space="preserve"> the organic community such as the Organic Transitions Program and the Specialty Crop Research Initiative.</w:t>
      </w:r>
      <w:r w:rsidR="00A83728">
        <w:rPr>
          <w:rFonts w:ascii="Garamond" w:hAnsi="Garamond"/>
        </w:rPr>
        <w:t xml:space="preserve"> </w:t>
      </w:r>
    </w:p>
    <w:p w14:paraId="4D2831FC" w14:textId="77777777" w:rsidR="00A83728" w:rsidRDefault="00A83728" w:rsidP="002E07AC">
      <w:pPr>
        <w:rPr>
          <w:rFonts w:ascii="Garamond" w:hAnsi="Garamond"/>
        </w:rPr>
      </w:pPr>
    </w:p>
    <w:p w14:paraId="0E676D8E" w14:textId="2FD35D2A" w:rsidR="00CE2485" w:rsidRDefault="00807D5B" w:rsidP="002E07AC">
      <w:pPr>
        <w:rPr>
          <w:rFonts w:ascii="Garamond" w:hAnsi="Garamond"/>
          <w:b/>
        </w:rPr>
      </w:pPr>
      <w:r>
        <w:rPr>
          <w:rFonts w:ascii="Garamond" w:hAnsi="Garamond"/>
          <w:b/>
        </w:rPr>
        <w:t>3</w:t>
      </w:r>
      <w:r w:rsidR="00CE2485" w:rsidRPr="00831FA7">
        <w:rPr>
          <w:rFonts w:ascii="Garamond" w:hAnsi="Garamond"/>
          <w:b/>
        </w:rPr>
        <w:t xml:space="preserve">. </w:t>
      </w:r>
      <w:r w:rsidR="008759AA">
        <w:rPr>
          <w:rFonts w:ascii="Garamond" w:hAnsi="Garamond"/>
          <w:b/>
        </w:rPr>
        <w:t xml:space="preserve"> </w:t>
      </w:r>
      <w:r w:rsidR="00CE2485" w:rsidRPr="00831FA7">
        <w:rPr>
          <w:rFonts w:ascii="Garamond" w:hAnsi="Garamond"/>
          <w:b/>
        </w:rPr>
        <w:t>Retain</w:t>
      </w:r>
      <w:r w:rsidR="001C1C82">
        <w:rPr>
          <w:rFonts w:ascii="Garamond" w:hAnsi="Garamond"/>
          <w:b/>
        </w:rPr>
        <w:t xml:space="preserve"> the</w:t>
      </w:r>
      <w:r w:rsidR="00F23458">
        <w:rPr>
          <w:rFonts w:ascii="Garamond" w:hAnsi="Garamond"/>
          <w:b/>
        </w:rPr>
        <w:t xml:space="preserve"> category</w:t>
      </w:r>
      <w:r w:rsidR="00CE2485" w:rsidRPr="00831FA7">
        <w:rPr>
          <w:rFonts w:ascii="Garamond" w:hAnsi="Garamond"/>
          <w:b/>
        </w:rPr>
        <w:t xml:space="preserve"> system </w:t>
      </w:r>
      <w:r w:rsidR="00F23458">
        <w:rPr>
          <w:rFonts w:ascii="Garamond" w:hAnsi="Garamond"/>
          <w:b/>
        </w:rPr>
        <w:t>for integrated project</w:t>
      </w:r>
      <w:r w:rsidR="00CE2485" w:rsidRPr="00831FA7">
        <w:rPr>
          <w:rFonts w:ascii="Garamond" w:hAnsi="Garamond"/>
          <w:b/>
        </w:rPr>
        <w:t xml:space="preserve"> grants </w:t>
      </w:r>
      <w:r w:rsidR="00E46D29">
        <w:rPr>
          <w:rFonts w:ascii="Garamond" w:hAnsi="Garamond"/>
          <w:b/>
        </w:rPr>
        <w:t>but modify it to</w:t>
      </w:r>
      <w:r w:rsidR="00CE2485" w:rsidRPr="00831FA7">
        <w:rPr>
          <w:rFonts w:ascii="Garamond" w:hAnsi="Garamond"/>
          <w:b/>
        </w:rPr>
        <w:t xml:space="preserve"> ensure t</w:t>
      </w:r>
      <w:r w:rsidR="00E46D29">
        <w:rPr>
          <w:rFonts w:ascii="Garamond" w:hAnsi="Garamond"/>
          <w:b/>
        </w:rPr>
        <w:t>hat smaller grants are not squeezed out</w:t>
      </w:r>
      <w:r w:rsidR="00CE2485" w:rsidRPr="00831FA7">
        <w:rPr>
          <w:rFonts w:ascii="Garamond" w:hAnsi="Garamond"/>
          <w:b/>
        </w:rPr>
        <w:t xml:space="preserve"> while also allowing a limited number of </w:t>
      </w:r>
      <w:r w:rsidR="00201B87" w:rsidRPr="00831FA7">
        <w:rPr>
          <w:rFonts w:ascii="Garamond" w:hAnsi="Garamond"/>
          <w:b/>
        </w:rPr>
        <w:t>large</w:t>
      </w:r>
      <w:r w:rsidR="00201B87">
        <w:rPr>
          <w:rFonts w:ascii="Garamond" w:hAnsi="Garamond"/>
          <w:b/>
        </w:rPr>
        <w:t>-scale grants to be awarded</w:t>
      </w:r>
      <w:r w:rsidR="00CE2485" w:rsidRPr="00831FA7">
        <w:rPr>
          <w:rFonts w:ascii="Garamond" w:hAnsi="Garamond"/>
          <w:b/>
        </w:rPr>
        <w:t>.</w:t>
      </w:r>
      <w:r w:rsidR="003D69DD">
        <w:rPr>
          <w:rFonts w:ascii="Garamond" w:hAnsi="Garamond"/>
          <w:b/>
        </w:rPr>
        <w:t xml:space="preserve"> (Part IIC(1))</w:t>
      </w:r>
    </w:p>
    <w:p w14:paraId="5F5C1502" w14:textId="5EC329DA" w:rsidR="00F23458" w:rsidRDefault="00F23458" w:rsidP="002E07AC">
      <w:pPr>
        <w:rPr>
          <w:rFonts w:ascii="Garamond" w:hAnsi="Garamond"/>
          <w:b/>
        </w:rPr>
      </w:pPr>
    </w:p>
    <w:p w14:paraId="2A1698B0" w14:textId="120C4059" w:rsidR="00F23458" w:rsidRDefault="00F23458" w:rsidP="002E07AC">
      <w:pPr>
        <w:rPr>
          <w:rFonts w:ascii="Garamond" w:hAnsi="Garamond"/>
        </w:rPr>
      </w:pPr>
      <w:r>
        <w:rPr>
          <w:rFonts w:ascii="Garamond" w:hAnsi="Garamond"/>
        </w:rPr>
        <w:t>We</w:t>
      </w:r>
      <w:r w:rsidR="000F5C86">
        <w:rPr>
          <w:rFonts w:ascii="Garamond" w:hAnsi="Garamond"/>
        </w:rPr>
        <w:t xml:space="preserve"> support the evolution of the tier system into a category system because it provides greater guidance</w:t>
      </w:r>
      <w:r w:rsidR="003821A6">
        <w:rPr>
          <w:rFonts w:ascii="Garamond" w:hAnsi="Garamond"/>
        </w:rPr>
        <w:t xml:space="preserve"> about what the focus of each category of project should be.  </w:t>
      </w:r>
      <w:r w:rsidR="008300F8">
        <w:rPr>
          <w:rFonts w:ascii="Garamond" w:hAnsi="Garamond"/>
        </w:rPr>
        <w:t>However, we</w:t>
      </w:r>
      <w:r w:rsidR="003821A6">
        <w:rPr>
          <w:rFonts w:ascii="Garamond" w:hAnsi="Garamond"/>
        </w:rPr>
        <w:t xml:space="preserve"> recommend that it be </w:t>
      </w:r>
      <w:r w:rsidR="008300F8">
        <w:rPr>
          <w:rFonts w:ascii="Garamond" w:hAnsi="Garamond"/>
        </w:rPr>
        <w:t>modified</w:t>
      </w:r>
      <w:r w:rsidR="003821A6">
        <w:rPr>
          <w:rFonts w:ascii="Garamond" w:hAnsi="Garamond"/>
        </w:rPr>
        <w:t xml:space="preserve"> </w:t>
      </w:r>
      <w:r w:rsidR="00DF689A">
        <w:rPr>
          <w:rFonts w:ascii="Garamond" w:hAnsi="Garamond"/>
        </w:rPr>
        <w:t>to ensure that smaller applications</w:t>
      </w:r>
      <w:r w:rsidR="000F5C86">
        <w:rPr>
          <w:rFonts w:ascii="Garamond" w:hAnsi="Garamond"/>
        </w:rPr>
        <w:t xml:space="preserve"> are not </w:t>
      </w:r>
      <w:r w:rsidR="003821A6">
        <w:rPr>
          <w:rFonts w:ascii="Garamond" w:hAnsi="Garamond"/>
        </w:rPr>
        <w:t xml:space="preserve">squeezed out. </w:t>
      </w:r>
    </w:p>
    <w:p w14:paraId="2AD8CF13" w14:textId="77777777" w:rsidR="003821A6" w:rsidRDefault="003821A6" w:rsidP="002E07AC">
      <w:pPr>
        <w:rPr>
          <w:rFonts w:ascii="Garamond" w:hAnsi="Garamond"/>
        </w:rPr>
      </w:pPr>
    </w:p>
    <w:p w14:paraId="69E660BD" w14:textId="2E31C8AE" w:rsidR="003821A6" w:rsidRDefault="003821A6" w:rsidP="002E07AC">
      <w:pPr>
        <w:rPr>
          <w:rFonts w:ascii="Garamond" w:hAnsi="Garamond"/>
        </w:rPr>
      </w:pPr>
      <w:r>
        <w:rPr>
          <w:rFonts w:ascii="Garamond" w:hAnsi="Garamond"/>
        </w:rPr>
        <w:t>If you apply the funding guidelines included in the</w:t>
      </w:r>
      <w:r w:rsidR="00A0522B">
        <w:rPr>
          <w:rFonts w:ascii="Garamond" w:hAnsi="Garamond"/>
        </w:rPr>
        <w:t xml:space="preserve"> new category system</w:t>
      </w:r>
      <w:r>
        <w:rPr>
          <w:rFonts w:ascii="Garamond" w:hAnsi="Garamond"/>
        </w:rPr>
        <w:t xml:space="preserve"> to all the OREI grants made between 2004 and 2012 nearly half (44%) were within or in excess of the amounts specified for multi-regional</w:t>
      </w:r>
      <w:r w:rsidR="00A0522B">
        <w:rPr>
          <w:rFonts w:ascii="Garamond" w:hAnsi="Garamond"/>
        </w:rPr>
        <w:t xml:space="preserve"> (largest)</w:t>
      </w:r>
      <w:r>
        <w:rPr>
          <w:rFonts w:ascii="Garamond" w:hAnsi="Garamond"/>
        </w:rPr>
        <w:t xml:space="preserve"> proposals.</w:t>
      </w:r>
      <w:r w:rsidR="000C4A7B">
        <w:rPr>
          <w:rFonts w:ascii="Garamond" w:hAnsi="Garamond"/>
        </w:rPr>
        <w:t xml:space="preserve">  This shows a bias towards larger projects.</w:t>
      </w:r>
      <w:r w:rsidR="00FC62D9">
        <w:rPr>
          <w:rFonts w:ascii="Garamond" w:hAnsi="Garamond"/>
        </w:rPr>
        <w:t xml:space="preserve">  We are not opposed to large projects, but believe strongly</w:t>
      </w:r>
      <w:r w:rsidR="0056204C">
        <w:rPr>
          <w:rFonts w:ascii="Garamond" w:hAnsi="Garamond"/>
        </w:rPr>
        <w:t xml:space="preserve"> that the most meritorious projects</w:t>
      </w:r>
      <w:r w:rsidR="00021B01">
        <w:rPr>
          <w:rFonts w:ascii="Garamond" w:hAnsi="Garamond"/>
        </w:rPr>
        <w:t xml:space="preserve"> should</w:t>
      </w:r>
      <w:r w:rsidR="0056204C">
        <w:rPr>
          <w:rFonts w:ascii="Garamond" w:hAnsi="Garamond"/>
        </w:rPr>
        <w:t xml:space="preserve"> be funded</w:t>
      </w:r>
      <w:r w:rsidR="00FC62D9">
        <w:rPr>
          <w:rFonts w:ascii="Garamond" w:hAnsi="Garamond"/>
        </w:rPr>
        <w:t>, regardless of size</w:t>
      </w:r>
      <w:r w:rsidR="0056204C">
        <w:rPr>
          <w:rFonts w:ascii="Garamond" w:hAnsi="Garamond"/>
        </w:rPr>
        <w:t>.</w:t>
      </w:r>
    </w:p>
    <w:p w14:paraId="6C5456C8" w14:textId="77777777" w:rsidR="00F23458" w:rsidRDefault="00F23458" w:rsidP="002E07AC">
      <w:pPr>
        <w:rPr>
          <w:rFonts w:ascii="Garamond" w:hAnsi="Garamond"/>
        </w:rPr>
      </w:pPr>
    </w:p>
    <w:p w14:paraId="4680EB56" w14:textId="77AD1050" w:rsidR="003821A6" w:rsidRDefault="003821A6" w:rsidP="003821A6">
      <w:pPr>
        <w:rPr>
          <w:rFonts w:ascii="Garamond" w:hAnsi="Garamond"/>
        </w:rPr>
      </w:pPr>
      <w:r>
        <w:rPr>
          <w:rFonts w:ascii="Garamond" w:hAnsi="Garamond"/>
        </w:rPr>
        <w:t>The la</w:t>
      </w:r>
      <w:r w:rsidR="008300F8">
        <w:rPr>
          <w:rFonts w:ascii="Garamond" w:hAnsi="Garamond"/>
        </w:rPr>
        <w:t>nguage in the RFA noting that “Multi-R</w:t>
      </w:r>
      <w:r>
        <w:rPr>
          <w:rFonts w:ascii="Garamond" w:hAnsi="Garamond"/>
        </w:rPr>
        <w:t>egional, Regional, and Targeted proposals will be review</w:t>
      </w:r>
      <w:r w:rsidR="00A0522B">
        <w:rPr>
          <w:rFonts w:ascii="Garamond" w:hAnsi="Garamond"/>
        </w:rPr>
        <w:t>ed</w:t>
      </w:r>
      <w:r>
        <w:rPr>
          <w:rFonts w:ascii="Garamond" w:hAnsi="Garamond"/>
        </w:rPr>
        <w:t xml:space="preserve"> together with no set aside amoun</w:t>
      </w:r>
      <w:r w:rsidR="00A0522B">
        <w:rPr>
          <w:rFonts w:ascii="Garamond" w:hAnsi="Garamond"/>
        </w:rPr>
        <w:t>t for any of the proposal types</w:t>
      </w:r>
      <w:r w:rsidR="000C4A7B">
        <w:rPr>
          <w:rFonts w:ascii="Garamond" w:hAnsi="Garamond"/>
        </w:rPr>
        <w:t>”</w:t>
      </w:r>
      <w:r>
        <w:rPr>
          <w:rFonts w:ascii="Garamond" w:hAnsi="Garamond"/>
        </w:rPr>
        <w:t xml:space="preserve"> is </w:t>
      </w:r>
      <w:r w:rsidR="00A0522B">
        <w:rPr>
          <w:rFonts w:ascii="Garamond" w:hAnsi="Garamond"/>
        </w:rPr>
        <w:t>concerning because it could cause</w:t>
      </w:r>
      <w:r w:rsidR="0056204C">
        <w:rPr>
          <w:rFonts w:ascii="Garamond" w:hAnsi="Garamond"/>
        </w:rPr>
        <w:t xml:space="preserve"> even more bias</w:t>
      </w:r>
      <w:r>
        <w:rPr>
          <w:rFonts w:ascii="Garamond" w:hAnsi="Garamond"/>
        </w:rPr>
        <w:t xml:space="preserve"> towards larger </w:t>
      </w:r>
      <w:r w:rsidR="00233413">
        <w:rPr>
          <w:rFonts w:ascii="Garamond" w:hAnsi="Garamond"/>
        </w:rPr>
        <w:t>projects</w:t>
      </w:r>
      <w:r>
        <w:rPr>
          <w:rFonts w:ascii="Garamond" w:hAnsi="Garamond"/>
        </w:rPr>
        <w:t>.</w:t>
      </w:r>
    </w:p>
    <w:p w14:paraId="79C99C5F" w14:textId="77777777" w:rsidR="003821A6" w:rsidRDefault="003821A6" w:rsidP="002E07AC">
      <w:pPr>
        <w:rPr>
          <w:rFonts w:ascii="Garamond" w:hAnsi="Garamond"/>
        </w:rPr>
      </w:pPr>
    </w:p>
    <w:p w14:paraId="0E6615C5" w14:textId="2B5C39E1" w:rsidR="00A0522B" w:rsidRDefault="000C4A7B" w:rsidP="002E07AC">
      <w:pPr>
        <w:rPr>
          <w:rFonts w:ascii="Garamond" w:hAnsi="Garamond"/>
        </w:rPr>
      </w:pPr>
      <w:r>
        <w:rPr>
          <w:rFonts w:ascii="Garamond" w:hAnsi="Garamond"/>
        </w:rPr>
        <w:t>If accompanied by adequate instructions to reviewers</w:t>
      </w:r>
      <w:r w:rsidR="00021B01">
        <w:rPr>
          <w:rFonts w:ascii="Garamond" w:hAnsi="Garamond"/>
        </w:rPr>
        <w:t xml:space="preserve">, the category system for integrated project </w:t>
      </w:r>
      <w:r w:rsidR="00F23458">
        <w:rPr>
          <w:rFonts w:ascii="Garamond" w:hAnsi="Garamond"/>
        </w:rPr>
        <w:t xml:space="preserve">grants </w:t>
      </w:r>
      <w:r w:rsidR="00531FFE">
        <w:rPr>
          <w:rFonts w:ascii="Garamond" w:hAnsi="Garamond"/>
        </w:rPr>
        <w:t>can help</w:t>
      </w:r>
      <w:r w:rsidR="00831FA7">
        <w:rPr>
          <w:rFonts w:ascii="Garamond" w:hAnsi="Garamond"/>
        </w:rPr>
        <w:t xml:space="preserve"> </w:t>
      </w:r>
      <w:r w:rsidR="00931F2F">
        <w:rPr>
          <w:rFonts w:ascii="Garamond" w:hAnsi="Garamond"/>
        </w:rPr>
        <w:t>ensure that funding is available to support a diversity of projects – including those with very</w:t>
      </w:r>
      <w:r w:rsidR="00F23458">
        <w:rPr>
          <w:rFonts w:ascii="Garamond" w:hAnsi="Garamond"/>
        </w:rPr>
        <w:t xml:space="preserve"> large and very small budgets.  This</w:t>
      </w:r>
      <w:r w:rsidR="00831FA7">
        <w:rPr>
          <w:rFonts w:ascii="Garamond" w:hAnsi="Garamond"/>
        </w:rPr>
        <w:t xml:space="preserve"> </w:t>
      </w:r>
      <w:r>
        <w:rPr>
          <w:rFonts w:ascii="Garamond" w:hAnsi="Garamond"/>
        </w:rPr>
        <w:t>can allow</w:t>
      </w:r>
      <w:r w:rsidR="00831FA7">
        <w:rPr>
          <w:rFonts w:ascii="Garamond" w:hAnsi="Garamond"/>
        </w:rPr>
        <w:t xml:space="preserve"> smaller </w:t>
      </w:r>
      <w:r w:rsidR="000F19C3">
        <w:rPr>
          <w:rFonts w:ascii="Garamond" w:hAnsi="Garamond"/>
        </w:rPr>
        <w:t>projects</w:t>
      </w:r>
      <w:r w:rsidR="00831FA7">
        <w:rPr>
          <w:rFonts w:ascii="Garamond" w:hAnsi="Garamond"/>
        </w:rPr>
        <w:t xml:space="preserve"> to be funded while still making room for large</w:t>
      </w:r>
      <w:r w:rsidR="00A83728">
        <w:rPr>
          <w:rFonts w:ascii="Garamond" w:hAnsi="Garamond"/>
        </w:rPr>
        <w:t>r</w:t>
      </w:r>
      <w:r w:rsidR="00831FA7">
        <w:rPr>
          <w:rFonts w:ascii="Garamond" w:hAnsi="Garamond"/>
        </w:rPr>
        <w:t xml:space="preserve"> </w:t>
      </w:r>
      <w:r w:rsidR="00F32462">
        <w:rPr>
          <w:rFonts w:ascii="Garamond" w:hAnsi="Garamond"/>
        </w:rPr>
        <w:t xml:space="preserve">more </w:t>
      </w:r>
      <w:r w:rsidR="004D1C6A">
        <w:rPr>
          <w:rFonts w:ascii="Garamond" w:hAnsi="Garamond"/>
        </w:rPr>
        <w:t>complex</w:t>
      </w:r>
      <w:r w:rsidR="00F32462">
        <w:rPr>
          <w:rFonts w:ascii="Garamond" w:hAnsi="Garamond"/>
        </w:rPr>
        <w:t xml:space="preserve"> </w:t>
      </w:r>
      <w:r w:rsidR="000F19C3">
        <w:rPr>
          <w:rFonts w:ascii="Garamond" w:hAnsi="Garamond"/>
        </w:rPr>
        <w:t>projects</w:t>
      </w:r>
      <w:r w:rsidR="00531FFE">
        <w:rPr>
          <w:rFonts w:ascii="Garamond" w:hAnsi="Garamond"/>
        </w:rPr>
        <w:t xml:space="preserve">.  </w:t>
      </w:r>
    </w:p>
    <w:p w14:paraId="150CB1D5" w14:textId="77777777" w:rsidR="00A0522B" w:rsidRDefault="00A0522B" w:rsidP="002E07AC">
      <w:pPr>
        <w:rPr>
          <w:rFonts w:ascii="Garamond" w:hAnsi="Garamond"/>
        </w:rPr>
      </w:pPr>
    </w:p>
    <w:p w14:paraId="33910264" w14:textId="165544DF" w:rsidR="00531FFE" w:rsidRDefault="00531FFE" w:rsidP="002E07AC">
      <w:pPr>
        <w:rPr>
          <w:rFonts w:ascii="Garamond" w:hAnsi="Garamond"/>
        </w:rPr>
      </w:pPr>
      <w:r>
        <w:rPr>
          <w:rFonts w:ascii="Garamond" w:hAnsi="Garamond"/>
        </w:rPr>
        <w:t xml:space="preserve">To ensure that this is the case we recommend that mechanisms be adopted </w:t>
      </w:r>
      <w:r w:rsidR="000C4A7B">
        <w:rPr>
          <w:rFonts w:ascii="Garamond" w:hAnsi="Garamond"/>
        </w:rPr>
        <w:t xml:space="preserve">to ensure </w:t>
      </w:r>
      <w:r>
        <w:rPr>
          <w:rFonts w:ascii="Garamond" w:hAnsi="Garamond"/>
        </w:rPr>
        <w:t>that projects with smaller budgets are fairly represented and not sidelined in favor of large projects.</w:t>
      </w:r>
      <w:r w:rsidR="00A0522B">
        <w:rPr>
          <w:rFonts w:ascii="Garamond" w:hAnsi="Garamond"/>
        </w:rPr>
        <w:t xml:space="preserve">  This</w:t>
      </w:r>
      <w:r w:rsidR="008300F8">
        <w:rPr>
          <w:rFonts w:ascii="Garamond" w:hAnsi="Garamond"/>
        </w:rPr>
        <w:t xml:space="preserve"> could be </w:t>
      </w:r>
      <w:r w:rsidR="008300F8">
        <w:rPr>
          <w:rFonts w:ascii="Garamond" w:hAnsi="Garamond"/>
        </w:rPr>
        <w:lastRenderedPageBreak/>
        <w:t xml:space="preserve">accomplished in at least two ways.  The first would be </w:t>
      </w:r>
      <w:r w:rsidR="000C4A7B">
        <w:rPr>
          <w:rFonts w:ascii="Garamond" w:hAnsi="Garamond"/>
        </w:rPr>
        <w:t>a</w:t>
      </w:r>
      <w:r w:rsidR="008300F8">
        <w:rPr>
          <w:rFonts w:ascii="Garamond" w:hAnsi="Garamond"/>
        </w:rPr>
        <w:t xml:space="preserve"> set aside for each category of project.  </w:t>
      </w:r>
      <w:r w:rsidR="00021B01">
        <w:rPr>
          <w:rFonts w:ascii="Garamond" w:hAnsi="Garamond"/>
        </w:rPr>
        <w:t>The second</w:t>
      </w:r>
      <w:r w:rsidR="008300F8">
        <w:rPr>
          <w:rFonts w:ascii="Garamond" w:hAnsi="Garamond"/>
        </w:rPr>
        <w:t xml:space="preserve"> would be guidance or</w:t>
      </w:r>
      <w:r w:rsidR="0056204C">
        <w:rPr>
          <w:rFonts w:ascii="Garamond" w:hAnsi="Garamond"/>
        </w:rPr>
        <w:t xml:space="preserve"> instructions to reviewers</w:t>
      </w:r>
      <w:r w:rsidR="000C4A7B">
        <w:rPr>
          <w:rFonts w:ascii="Garamond" w:hAnsi="Garamond"/>
        </w:rPr>
        <w:t xml:space="preserve"> designed</w:t>
      </w:r>
      <w:r w:rsidR="0056204C">
        <w:rPr>
          <w:rFonts w:ascii="Garamond" w:hAnsi="Garamond"/>
        </w:rPr>
        <w:t xml:space="preserve"> to</w:t>
      </w:r>
      <w:r w:rsidR="00021B01">
        <w:rPr>
          <w:rFonts w:ascii="Garamond" w:hAnsi="Garamond"/>
        </w:rPr>
        <w:t xml:space="preserve"> avoid unintended bias toward large projects.  For example, such </w:t>
      </w:r>
      <w:r w:rsidR="0056204C">
        <w:rPr>
          <w:rFonts w:ascii="Garamond" w:hAnsi="Garamond"/>
        </w:rPr>
        <w:t>bias could take</w:t>
      </w:r>
      <w:r w:rsidR="00021B01">
        <w:rPr>
          <w:rFonts w:ascii="Garamond" w:hAnsi="Garamond"/>
        </w:rPr>
        <w:t xml:space="preserve"> the form of favoritism towards projects that utilize sophisticated “state of the art”</w:t>
      </w:r>
      <w:r w:rsidR="0056204C">
        <w:rPr>
          <w:rFonts w:ascii="Garamond" w:hAnsi="Garamond"/>
        </w:rPr>
        <w:t xml:space="preserve"> research methods</w:t>
      </w:r>
      <w:r w:rsidR="00021B01">
        <w:rPr>
          <w:rFonts w:ascii="Garamond" w:hAnsi="Garamond"/>
        </w:rPr>
        <w:t xml:space="preserve"> that are often farm more expensive than simpler methods that can provide equally valid and practical outcomes</w:t>
      </w:r>
      <w:r w:rsidR="0056204C">
        <w:rPr>
          <w:rFonts w:ascii="Garamond" w:hAnsi="Garamond"/>
        </w:rPr>
        <w:t>.</w:t>
      </w:r>
    </w:p>
    <w:p w14:paraId="1C875467" w14:textId="77777777" w:rsidR="003821A6" w:rsidRDefault="003821A6" w:rsidP="002E07AC">
      <w:pPr>
        <w:rPr>
          <w:rFonts w:ascii="Garamond" w:hAnsi="Garamond"/>
        </w:rPr>
      </w:pPr>
    </w:p>
    <w:p w14:paraId="26E5D17C" w14:textId="16D14DA0" w:rsidR="007524D1" w:rsidRPr="008759AA" w:rsidRDefault="00807D5B" w:rsidP="008759AA">
      <w:pPr>
        <w:tabs>
          <w:tab w:val="left" w:pos="6640"/>
        </w:tabs>
        <w:rPr>
          <w:rFonts w:ascii="Garamond" w:hAnsi="Garamond"/>
          <w:b/>
        </w:rPr>
      </w:pPr>
      <w:r>
        <w:rPr>
          <w:rFonts w:ascii="Garamond" w:hAnsi="Garamond"/>
          <w:b/>
        </w:rPr>
        <w:t>4</w:t>
      </w:r>
      <w:r w:rsidR="008759AA" w:rsidRPr="008759AA">
        <w:rPr>
          <w:rFonts w:ascii="Garamond" w:hAnsi="Garamond"/>
          <w:b/>
        </w:rPr>
        <w:t xml:space="preserve">.  Retain the </w:t>
      </w:r>
      <w:r w:rsidR="00FC62D9">
        <w:rPr>
          <w:rFonts w:ascii="Garamond" w:hAnsi="Garamond"/>
          <w:b/>
        </w:rPr>
        <w:t>explicit</w:t>
      </w:r>
      <w:r w:rsidR="008A645A">
        <w:rPr>
          <w:rFonts w:ascii="Garamond" w:hAnsi="Garamond"/>
          <w:b/>
        </w:rPr>
        <w:t xml:space="preserve"> reference to NGO’s </w:t>
      </w:r>
      <w:r w:rsidR="00D44EEF">
        <w:rPr>
          <w:rFonts w:ascii="Garamond" w:hAnsi="Garamond"/>
          <w:b/>
        </w:rPr>
        <w:t>in the list of organizations that</w:t>
      </w:r>
      <w:r w:rsidR="008A645A">
        <w:rPr>
          <w:rFonts w:ascii="Garamond" w:hAnsi="Garamond"/>
          <w:b/>
        </w:rPr>
        <w:t xml:space="preserve"> are strongly encouraged to apply. (Part IB</w:t>
      </w:r>
      <w:r w:rsidR="008759AA" w:rsidRPr="008759AA">
        <w:rPr>
          <w:rFonts w:ascii="Garamond" w:hAnsi="Garamond"/>
          <w:b/>
        </w:rPr>
        <w:t>)</w:t>
      </w:r>
    </w:p>
    <w:p w14:paraId="2EA8A15F" w14:textId="77777777" w:rsidR="007524D1" w:rsidRDefault="007524D1" w:rsidP="002E07AC">
      <w:pPr>
        <w:rPr>
          <w:rFonts w:ascii="Garamond" w:hAnsi="Garamond"/>
          <w:b/>
        </w:rPr>
      </w:pPr>
    </w:p>
    <w:p w14:paraId="61E8641B" w14:textId="405CAB18" w:rsidR="00E42E4C" w:rsidRPr="00E42E4C" w:rsidRDefault="00E42E4C" w:rsidP="002E07AC">
      <w:pPr>
        <w:rPr>
          <w:rFonts w:ascii="Garamond" w:hAnsi="Garamond"/>
        </w:rPr>
      </w:pPr>
      <w:r w:rsidRPr="007E06D6">
        <w:rPr>
          <w:rFonts w:ascii="Garamond" w:hAnsi="Garamond"/>
        </w:rPr>
        <w:t>NSAC appreciates the</w:t>
      </w:r>
      <w:r w:rsidR="008A645A" w:rsidRPr="007E06D6">
        <w:rPr>
          <w:rFonts w:ascii="Garamond" w:hAnsi="Garamond"/>
        </w:rPr>
        <w:t xml:space="preserve"> addition of “NGO’s that are engaged in organic agriculture research, education, and outreach” to the list of entities strongly encouraged to apply.  </w:t>
      </w:r>
      <w:r w:rsidR="003D69DD" w:rsidRPr="007E06D6">
        <w:rPr>
          <w:rFonts w:ascii="Garamond" w:hAnsi="Garamond"/>
        </w:rPr>
        <w:t xml:space="preserve">This </w:t>
      </w:r>
      <w:r w:rsidR="008A645A" w:rsidRPr="007E06D6">
        <w:rPr>
          <w:rFonts w:ascii="Garamond" w:hAnsi="Garamond"/>
        </w:rPr>
        <w:t>language</w:t>
      </w:r>
      <w:r w:rsidR="0002391E" w:rsidRPr="007E06D6">
        <w:rPr>
          <w:rFonts w:ascii="Garamond" w:hAnsi="Garamond"/>
        </w:rPr>
        <w:t xml:space="preserve"> clearly</w:t>
      </w:r>
      <w:r w:rsidR="003D69DD" w:rsidRPr="007E06D6">
        <w:rPr>
          <w:rFonts w:ascii="Garamond" w:hAnsi="Garamond"/>
        </w:rPr>
        <w:t xml:space="preserve"> sign</w:t>
      </w:r>
      <w:r w:rsidR="0002391E" w:rsidRPr="007E06D6">
        <w:rPr>
          <w:rFonts w:ascii="Garamond" w:hAnsi="Garamond"/>
        </w:rPr>
        <w:t>al</w:t>
      </w:r>
      <w:r w:rsidR="008A645A" w:rsidRPr="007E06D6">
        <w:rPr>
          <w:rFonts w:ascii="Garamond" w:hAnsi="Garamond"/>
        </w:rPr>
        <w:t>s</w:t>
      </w:r>
      <w:r w:rsidR="0002391E" w:rsidRPr="007E06D6">
        <w:rPr>
          <w:rFonts w:ascii="Garamond" w:hAnsi="Garamond"/>
        </w:rPr>
        <w:t xml:space="preserve"> to</w:t>
      </w:r>
      <w:r w:rsidR="00A83728" w:rsidRPr="007E06D6">
        <w:rPr>
          <w:rFonts w:ascii="Garamond" w:hAnsi="Garamond"/>
        </w:rPr>
        <w:t xml:space="preserve"> </w:t>
      </w:r>
      <w:r w:rsidR="0002391E" w:rsidRPr="007E06D6">
        <w:rPr>
          <w:rFonts w:ascii="Garamond" w:hAnsi="Garamond"/>
        </w:rPr>
        <w:t>applicants</w:t>
      </w:r>
      <w:r w:rsidR="00A6553D" w:rsidRPr="007E06D6">
        <w:rPr>
          <w:rFonts w:ascii="Garamond" w:hAnsi="Garamond"/>
        </w:rPr>
        <w:t xml:space="preserve"> exempt from the matching funds requirement</w:t>
      </w:r>
      <w:r w:rsidR="0002391E" w:rsidRPr="007E06D6">
        <w:rPr>
          <w:rFonts w:ascii="Garamond" w:hAnsi="Garamond"/>
        </w:rPr>
        <w:t xml:space="preserve"> that they can </w:t>
      </w:r>
      <w:r w:rsidR="003D69DD" w:rsidRPr="007E06D6">
        <w:rPr>
          <w:rFonts w:ascii="Garamond" w:hAnsi="Garamond"/>
        </w:rPr>
        <w:t>partner with these types of organizations</w:t>
      </w:r>
      <w:r w:rsidR="00931F2F" w:rsidRPr="007E06D6">
        <w:rPr>
          <w:rFonts w:ascii="Garamond" w:hAnsi="Garamond"/>
        </w:rPr>
        <w:t xml:space="preserve"> [see </w:t>
      </w:r>
      <w:r w:rsidR="00B3506C" w:rsidRPr="007E06D6">
        <w:rPr>
          <w:rFonts w:ascii="Garamond" w:hAnsi="Garamond"/>
        </w:rPr>
        <w:t>page 5-6 for</w:t>
      </w:r>
      <w:r w:rsidR="00931F2F" w:rsidRPr="007E06D6">
        <w:rPr>
          <w:rFonts w:ascii="Garamond" w:hAnsi="Garamond"/>
        </w:rPr>
        <w:t xml:space="preserve"> additi</w:t>
      </w:r>
      <w:r w:rsidR="008A645A" w:rsidRPr="007E06D6">
        <w:rPr>
          <w:rFonts w:ascii="Garamond" w:hAnsi="Garamond"/>
        </w:rPr>
        <w:t xml:space="preserve">onal recommendations on the </w:t>
      </w:r>
      <w:r w:rsidR="00931F2F" w:rsidRPr="007E06D6">
        <w:rPr>
          <w:rFonts w:ascii="Garamond" w:hAnsi="Garamond"/>
        </w:rPr>
        <w:t>matching funds requirement]</w:t>
      </w:r>
      <w:r w:rsidR="003D69DD" w:rsidRPr="007E06D6">
        <w:rPr>
          <w:rFonts w:ascii="Garamond" w:hAnsi="Garamond"/>
        </w:rPr>
        <w:t>.</w:t>
      </w:r>
      <w:r w:rsidR="00A83728" w:rsidRPr="007E06D6">
        <w:rPr>
          <w:rFonts w:ascii="Garamond" w:hAnsi="Garamond"/>
        </w:rPr>
        <w:t xml:space="preserve">  </w:t>
      </w:r>
      <w:r w:rsidR="00425872" w:rsidRPr="007E06D6">
        <w:rPr>
          <w:rFonts w:ascii="Garamond" w:hAnsi="Garamond"/>
        </w:rPr>
        <w:t>This addition</w:t>
      </w:r>
      <w:r w:rsidR="00A83728" w:rsidRPr="007E06D6">
        <w:rPr>
          <w:rFonts w:ascii="Garamond" w:hAnsi="Garamond"/>
        </w:rPr>
        <w:t xml:space="preserve"> also clearly signal</w:t>
      </w:r>
      <w:r w:rsidR="00425872" w:rsidRPr="007E06D6">
        <w:rPr>
          <w:rFonts w:ascii="Garamond" w:hAnsi="Garamond"/>
        </w:rPr>
        <w:t>s</w:t>
      </w:r>
      <w:r w:rsidR="00A83728" w:rsidRPr="007E06D6">
        <w:rPr>
          <w:rFonts w:ascii="Garamond" w:hAnsi="Garamond"/>
        </w:rPr>
        <w:t xml:space="preserve"> to NGOs that they are eligible</w:t>
      </w:r>
      <w:r w:rsidR="00903038" w:rsidRPr="007E06D6">
        <w:rPr>
          <w:rFonts w:ascii="Garamond" w:hAnsi="Garamond"/>
        </w:rPr>
        <w:t xml:space="preserve"> to apply for funding through OREI as the principal investigator</w:t>
      </w:r>
      <w:r w:rsidR="00A83728" w:rsidRPr="007E06D6">
        <w:rPr>
          <w:rFonts w:ascii="Garamond" w:hAnsi="Garamond"/>
        </w:rPr>
        <w:t>.  NGOs that engage in research, education, and outreach</w:t>
      </w:r>
      <w:r w:rsidR="003D69DD" w:rsidRPr="007E06D6">
        <w:rPr>
          <w:rFonts w:ascii="Garamond" w:hAnsi="Garamond"/>
        </w:rPr>
        <w:t xml:space="preserve"> often have direct working relationships with </w:t>
      </w:r>
      <w:r w:rsidR="00A83728" w:rsidRPr="007E06D6">
        <w:rPr>
          <w:rFonts w:ascii="Garamond" w:hAnsi="Garamond"/>
        </w:rPr>
        <w:t>organic producers and processors</w:t>
      </w:r>
      <w:r w:rsidR="003D69DD" w:rsidRPr="007E06D6">
        <w:rPr>
          <w:rFonts w:ascii="Garamond" w:hAnsi="Garamond"/>
        </w:rPr>
        <w:t>,</w:t>
      </w:r>
      <w:r w:rsidR="0002391E" w:rsidRPr="007E06D6">
        <w:rPr>
          <w:rFonts w:ascii="Garamond" w:hAnsi="Garamond"/>
        </w:rPr>
        <w:t xml:space="preserve"> which gives them a unique perspective that</w:t>
      </w:r>
      <w:r w:rsidR="003D69DD" w:rsidRPr="007E06D6">
        <w:rPr>
          <w:rFonts w:ascii="Garamond" w:hAnsi="Garamond"/>
        </w:rPr>
        <w:t xml:space="preserve"> can help ensure quality applications</w:t>
      </w:r>
      <w:r w:rsidR="00A83728" w:rsidRPr="007E06D6">
        <w:rPr>
          <w:rFonts w:ascii="Garamond" w:hAnsi="Garamond"/>
        </w:rPr>
        <w:t xml:space="preserve"> which translates into </w:t>
      </w:r>
      <w:r w:rsidR="00775320" w:rsidRPr="007E06D6">
        <w:rPr>
          <w:rFonts w:ascii="Garamond" w:hAnsi="Garamond"/>
        </w:rPr>
        <w:t>quality</w:t>
      </w:r>
      <w:r w:rsidR="00A83728" w:rsidRPr="007E06D6">
        <w:rPr>
          <w:rFonts w:ascii="Garamond" w:hAnsi="Garamond"/>
        </w:rPr>
        <w:t xml:space="preserve"> research and results</w:t>
      </w:r>
      <w:r w:rsidR="003D69DD" w:rsidRPr="007E06D6">
        <w:rPr>
          <w:rFonts w:ascii="Garamond" w:hAnsi="Garamond"/>
        </w:rPr>
        <w:t>.</w:t>
      </w:r>
      <w:r w:rsidR="003D69DD">
        <w:rPr>
          <w:rFonts w:ascii="Garamond" w:hAnsi="Garamond"/>
        </w:rPr>
        <w:t xml:space="preserve"> </w:t>
      </w:r>
    </w:p>
    <w:p w14:paraId="1D8628ED" w14:textId="77777777" w:rsidR="00A15697" w:rsidRDefault="00A15697" w:rsidP="002E07AC">
      <w:pPr>
        <w:rPr>
          <w:rFonts w:ascii="Garamond" w:hAnsi="Garamond"/>
          <w:b/>
          <w:bCs/>
          <w:smallCaps/>
          <w:u w:val="single"/>
        </w:rPr>
      </w:pPr>
    </w:p>
    <w:p w14:paraId="3EDCD2E8" w14:textId="4FBB303E" w:rsidR="00A15697" w:rsidRDefault="00734040" w:rsidP="002E07AC">
      <w:pPr>
        <w:rPr>
          <w:rFonts w:ascii="Garamond" w:hAnsi="Garamond"/>
          <w:b/>
          <w:bCs/>
        </w:rPr>
      </w:pPr>
      <w:r>
        <w:rPr>
          <w:rFonts w:ascii="Garamond" w:hAnsi="Garamond"/>
          <w:b/>
          <w:bCs/>
          <w:smallCaps/>
        </w:rPr>
        <w:t>5. R</w:t>
      </w:r>
      <w:r>
        <w:rPr>
          <w:rFonts w:ascii="Garamond" w:hAnsi="Garamond"/>
          <w:b/>
          <w:bCs/>
        </w:rPr>
        <w:t>etain the requirement that projects include a data management plan the clearly describes how the data will be disseminated and accessible to the public.</w:t>
      </w:r>
    </w:p>
    <w:p w14:paraId="3152C779" w14:textId="77777777" w:rsidR="00734040" w:rsidRDefault="00734040" w:rsidP="002E07AC">
      <w:pPr>
        <w:rPr>
          <w:rFonts w:ascii="Garamond" w:hAnsi="Garamond"/>
          <w:b/>
          <w:bCs/>
        </w:rPr>
      </w:pPr>
    </w:p>
    <w:p w14:paraId="5B3698B5" w14:textId="581B2CAF" w:rsidR="00734040" w:rsidRPr="00734040" w:rsidRDefault="00734040" w:rsidP="002E07AC">
      <w:pPr>
        <w:rPr>
          <w:rFonts w:ascii="Garamond" w:hAnsi="Garamond"/>
          <w:bCs/>
        </w:rPr>
      </w:pPr>
      <w:r>
        <w:rPr>
          <w:rFonts w:ascii="Garamond" w:hAnsi="Garamond"/>
          <w:bCs/>
        </w:rPr>
        <w:t>NSAC is committed to supporting the public dissemination of data and other information developed utilizing federal funding.  The SARE program is an example of a research-focused program where data dissemination ha</w:t>
      </w:r>
      <w:r w:rsidR="00E61693">
        <w:rPr>
          <w:rFonts w:ascii="Garamond" w:hAnsi="Garamond"/>
          <w:bCs/>
        </w:rPr>
        <w:t>s</w:t>
      </w:r>
      <w:r>
        <w:rPr>
          <w:rFonts w:ascii="Garamond" w:hAnsi="Garamond"/>
          <w:bCs/>
        </w:rPr>
        <w:t xml:space="preserve"> been made</w:t>
      </w:r>
      <w:r w:rsidR="00E61693">
        <w:rPr>
          <w:rFonts w:ascii="Garamond" w:hAnsi="Garamond"/>
          <w:bCs/>
        </w:rPr>
        <w:t xml:space="preserve"> a priority and has been a success.</w:t>
      </w:r>
      <w:r>
        <w:rPr>
          <w:rFonts w:ascii="Garamond" w:hAnsi="Garamond"/>
          <w:bCs/>
        </w:rPr>
        <w:t xml:space="preserve">  Our ultimate goal is</w:t>
      </w:r>
      <w:r w:rsidR="00E61693">
        <w:rPr>
          <w:rFonts w:ascii="Garamond" w:hAnsi="Garamond"/>
          <w:bCs/>
        </w:rPr>
        <w:t xml:space="preserve"> to</w:t>
      </w:r>
      <w:r>
        <w:rPr>
          <w:rFonts w:ascii="Garamond" w:hAnsi="Garamond"/>
          <w:bCs/>
        </w:rPr>
        <w:t xml:space="preserve"> ensure the OREI retains a balance between research</w:t>
      </w:r>
      <w:r w:rsidR="00E61693">
        <w:rPr>
          <w:rFonts w:ascii="Garamond" w:hAnsi="Garamond"/>
          <w:bCs/>
        </w:rPr>
        <w:t>,</w:t>
      </w:r>
      <w:r>
        <w:rPr>
          <w:rFonts w:ascii="Garamond" w:hAnsi="Garamond"/>
          <w:bCs/>
        </w:rPr>
        <w:t xml:space="preserve"> extension</w:t>
      </w:r>
      <w:r w:rsidR="000C4A7B">
        <w:rPr>
          <w:rFonts w:ascii="Garamond" w:hAnsi="Garamond"/>
          <w:bCs/>
        </w:rPr>
        <w:t>,</w:t>
      </w:r>
      <w:r>
        <w:rPr>
          <w:rFonts w:ascii="Garamond" w:hAnsi="Garamond"/>
          <w:bCs/>
        </w:rPr>
        <w:t xml:space="preserve"> and education while also</w:t>
      </w:r>
      <w:r w:rsidR="00E61693">
        <w:rPr>
          <w:rFonts w:ascii="Garamond" w:hAnsi="Garamond"/>
          <w:bCs/>
        </w:rPr>
        <w:t xml:space="preserve"> </w:t>
      </w:r>
      <w:r w:rsidR="000C4A7B">
        <w:rPr>
          <w:rFonts w:ascii="Garamond" w:hAnsi="Garamond"/>
          <w:bCs/>
        </w:rPr>
        <w:t>making sure OREI funded project results are made publically available.</w:t>
      </w:r>
      <w:r>
        <w:rPr>
          <w:rFonts w:ascii="Garamond" w:hAnsi="Garamond"/>
          <w:bCs/>
        </w:rPr>
        <w:t xml:space="preserve"> </w:t>
      </w:r>
    </w:p>
    <w:p w14:paraId="3FCB350C" w14:textId="77777777" w:rsidR="00734040" w:rsidRDefault="00734040" w:rsidP="002E07AC">
      <w:pPr>
        <w:rPr>
          <w:rFonts w:ascii="Garamond" w:hAnsi="Garamond"/>
          <w:b/>
          <w:bCs/>
          <w:smallCaps/>
          <w:u w:val="single"/>
        </w:rPr>
      </w:pPr>
    </w:p>
    <w:p w14:paraId="73AA9AEA" w14:textId="6E7F8F14" w:rsidR="009B2014" w:rsidRDefault="00BB6714" w:rsidP="005B0A8F">
      <w:pPr>
        <w:rPr>
          <w:rFonts w:ascii="Garamond" w:hAnsi="Garamond"/>
          <w:b/>
        </w:rPr>
      </w:pPr>
      <w:r>
        <w:rPr>
          <w:rFonts w:ascii="Garamond" w:hAnsi="Garamond"/>
          <w:b/>
        </w:rPr>
        <w:t>6</w:t>
      </w:r>
      <w:r w:rsidR="00113BC5" w:rsidRPr="00201B87">
        <w:rPr>
          <w:rFonts w:ascii="Garamond" w:hAnsi="Garamond"/>
          <w:b/>
        </w:rPr>
        <w:t xml:space="preserve">. </w:t>
      </w:r>
      <w:r w:rsidR="003D28BE">
        <w:rPr>
          <w:rFonts w:ascii="Garamond" w:hAnsi="Garamond"/>
          <w:b/>
        </w:rPr>
        <w:t xml:space="preserve"> </w:t>
      </w:r>
      <w:r>
        <w:rPr>
          <w:rFonts w:ascii="Garamond" w:hAnsi="Garamond"/>
          <w:b/>
        </w:rPr>
        <w:t xml:space="preserve">Retain the </w:t>
      </w:r>
      <w:r w:rsidR="00492B1F" w:rsidRPr="00201B87">
        <w:rPr>
          <w:rFonts w:ascii="Garamond" w:hAnsi="Garamond"/>
          <w:b/>
        </w:rPr>
        <w:t>Prioritize the development of public seed v</w:t>
      </w:r>
      <w:r w:rsidR="003D69DD">
        <w:rPr>
          <w:rFonts w:ascii="Garamond" w:hAnsi="Garamond"/>
          <w:b/>
        </w:rPr>
        <w:t>arieties</w:t>
      </w:r>
      <w:r w:rsidR="00492B1F" w:rsidRPr="00201B87">
        <w:rPr>
          <w:rFonts w:ascii="Garamond" w:hAnsi="Garamond"/>
          <w:b/>
        </w:rPr>
        <w:t xml:space="preserve"> that are</w:t>
      </w:r>
      <w:r w:rsidR="00840106">
        <w:rPr>
          <w:rFonts w:ascii="Garamond" w:hAnsi="Garamond"/>
          <w:b/>
        </w:rPr>
        <w:t xml:space="preserve"> well suited</w:t>
      </w:r>
      <w:r w:rsidR="00492B1F" w:rsidRPr="00201B87">
        <w:rPr>
          <w:rFonts w:ascii="Garamond" w:hAnsi="Garamond"/>
          <w:b/>
        </w:rPr>
        <w:t xml:space="preserve"> for organic production.</w:t>
      </w:r>
      <w:r>
        <w:rPr>
          <w:rFonts w:ascii="Garamond" w:hAnsi="Garamond"/>
          <w:b/>
        </w:rPr>
        <w:t xml:space="preserve"> (Part IB Priority 4)</w:t>
      </w:r>
    </w:p>
    <w:p w14:paraId="28151389" w14:textId="77777777" w:rsidR="00E96789" w:rsidRDefault="00E96789" w:rsidP="005B0A8F">
      <w:pPr>
        <w:rPr>
          <w:rFonts w:ascii="Garamond" w:hAnsi="Garamond"/>
          <w:b/>
        </w:rPr>
      </w:pPr>
    </w:p>
    <w:p w14:paraId="7EFBBBB1" w14:textId="54E9B314" w:rsidR="00B12582" w:rsidRDefault="00E96789" w:rsidP="005B0A8F">
      <w:pPr>
        <w:rPr>
          <w:rFonts w:ascii="Garamond" w:hAnsi="Garamond"/>
        </w:rPr>
      </w:pPr>
      <w:r>
        <w:rPr>
          <w:rFonts w:ascii="Garamond" w:hAnsi="Garamond"/>
        </w:rPr>
        <w:t>NSAC is greatly concerned with ensuring</w:t>
      </w:r>
      <w:r w:rsidR="00840106">
        <w:rPr>
          <w:rFonts w:ascii="Garamond" w:hAnsi="Garamond"/>
        </w:rPr>
        <w:t xml:space="preserve"> the availability of public seed varieties that are well suited for organic production and</w:t>
      </w:r>
      <w:r w:rsidR="00A0522B">
        <w:rPr>
          <w:rFonts w:ascii="Garamond" w:hAnsi="Garamond"/>
        </w:rPr>
        <w:t xml:space="preserve"> we</w:t>
      </w:r>
      <w:r w:rsidR="00840106">
        <w:rPr>
          <w:rFonts w:ascii="Garamond" w:hAnsi="Garamond"/>
        </w:rPr>
        <w:t xml:space="preserve"> </w:t>
      </w:r>
      <w:r w:rsidR="00BB6714">
        <w:rPr>
          <w:rFonts w:ascii="Garamond" w:hAnsi="Garamond"/>
        </w:rPr>
        <w:t>appreciate seeing the emphasis on publicly available releases</w:t>
      </w:r>
      <w:r w:rsidR="00840106">
        <w:rPr>
          <w:rFonts w:ascii="Garamond" w:hAnsi="Garamond"/>
        </w:rPr>
        <w:t xml:space="preserve"> </w:t>
      </w:r>
      <w:r w:rsidR="00903038">
        <w:rPr>
          <w:rFonts w:ascii="Garamond" w:hAnsi="Garamond"/>
        </w:rPr>
        <w:t>with</w:t>
      </w:r>
      <w:r w:rsidR="00840106">
        <w:rPr>
          <w:rFonts w:ascii="Garamond" w:hAnsi="Garamond"/>
        </w:rPr>
        <w:t>in priority</w:t>
      </w:r>
      <w:r w:rsidR="00E2332A">
        <w:rPr>
          <w:rFonts w:ascii="Garamond" w:hAnsi="Garamond"/>
        </w:rPr>
        <w:t xml:space="preserve"> four</w:t>
      </w:r>
      <w:r w:rsidR="000C4A7B">
        <w:rPr>
          <w:rFonts w:ascii="Garamond" w:hAnsi="Garamond"/>
        </w:rPr>
        <w:t xml:space="preserve">.  </w:t>
      </w:r>
      <w:r w:rsidR="00BB6714">
        <w:rPr>
          <w:rFonts w:ascii="Garamond" w:hAnsi="Garamond"/>
        </w:rPr>
        <w:t>We also support the retention of the reference to cultivars under the same priority.</w:t>
      </w:r>
    </w:p>
    <w:p w14:paraId="1AEFA8ED" w14:textId="77777777" w:rsidR="00775320" w:rsidRDefault="00775320" w:rsidP="005B0A8F">
      <w:pPr>
        <w:rPr>
          <w:rFonts w:ascii="Garamond" w:hAnsi="Garamond"/>
        </w:rPr>
      </w:pPr>
    </w:p>
    <w:p w14:paraId="0D257177" w14:textId="01D59B64" w:rsidR="003D69DD" w:rsidRPr="003D69DD" w:rsidRDefault="00840106" w:rsidP="005B0A8F">
      <w:pPr>
        <w:rPr>
          <w:rFonts w:ascii="Garamond" w:hAnsi="Garamond"/>
        </w:rPr>
      </w:pPr>
      <w:r>
        <w:rPr>
          <w:rFonts w:ascii="Garamond" w:hAnsi="Garamond"/>
        </w:rPr>
        <w:t>We believe that strengthening organic seed system</w:t>
      </w:r>
      <w:r w:rsidR="00E96789">
        <w:rPr>
          <w:rFonts w:ascii="Garamond" w:hAnsi="Garamond"/>
        </w:rPr>
        <w:t>s</w:t>
      </w:r>
      <w:r>
        <w:rPr>
          <w:rFonts w:ascii="Garamond" w:hAnsi="Garamond"/>
        </w:rPr>
        <w:t xml:space="preserve"> </w:t>
      </w:r>
      <w:r w:rsidR="000C4A7B">
        <w:rPr>
          <w:rFonts w:ascii="Garamond" w:hAnsi="Garamond"/>
        </w:rPr>
        <w:t xml:space="preserve">cannot be accomplished without </w:t>
      </w:r>
      <w:r w:rsidR="00E46D29">
        <w:rPr>
          <w:rFonts w:ascii="Garamond" w:hAnsi="Garamond"/>
        </w:rPr>
        <w:t>public cultivar developers working to make</w:t>
      </w:r>
      <w:r>
        <w:rPr>
          <w:rFonts w:ascii="Garamond" w:hAnsi="Garamond"/>
        </w:rPr>
        <w:t xml:space="preserve"> more public varieties</w:t>
      </w:r>
      <w:r w:rsidR="00A0522B">
        <w:rPr>
          <w:rFonts w:ascii="Garamond" w:hAnsi="Garamond"/>
        </w:rPr>
        <w:t xml:space="preserve"> available</w:t>
      </w:r>
      <w:r>
        <w:rPr>
          <w:rFonts w:ascii="Garamond" w:hAnsi="Garamond"/>
        </w:rPr>
        <w:t xml:space="preserve"> </w:t>
      </w:r>
      <w:r w:rsidR="00903038">
        <w:rPr>
          <w:rFonts w:ascii="Garamond" w:hAnsi="Garamond"/>
        </w:rPr>
        <w:t xml:space="preserve">that are </w:t>
      </w:r>
      <w:r>
        <w:rPr>
          <w:rFonts w:ascii="Garamond" w:hAnsi="Garamond"/>
        </w:rPr>
        <w:t>well suited to organic production</w:t>
      </w:r>
      <w:r w:rsidR="00903038">
        <w:rPr>
          <w:rFonts w:ascii="Garamond" w:hAnsi="Garamond"/>
        </w:rPr>
        <w:t xml:space="preserve"> systems</w:t>
      </w:r>
      <w:r w:rsidR="00E46D29">
        <w:rPr>
          <w:rFonts w:ascii="Garamond" w:hAnsi="Garamond"/>
        </w:rPr>
        <w:t>.</w:t>
      </w:r>
    </w:p>
    <w:p w14:paraId="37FD5C18" w14:textId="77777777" w:rsidR="00492B1F" w:rsidRDefault="00492B1F" w:rsidP="005B0A8F">
      <w:pPr>
        <w:rPr>
          <w:rFonts w:ascii="Garamond" w:hAnsi="Garamond"/>
        </w:rPr>
      </w:pPr>
    </w:p>
    <w:p w14:paraId="0DC2D498" w14:textId="2611CC73" w:rsidR="00492B1F" w:rsidRDefault="0065652F" w:rsidP="005B0A8F">
      <w:pPr>
        <w:rPr>
          <w:rFonts w:ascii="Garamond" w:hAnsi="Garamond"/>
          <w:b/>
        </w:rPr>
      </w:pPr>
      <w:r>
        <w:rPr>
          <w:rFonts w:ascii="Garamond" w:hAnsi="Garamond"/>
          <w:b/>
        </w:rPr>
        <w:t>7</w:t>
      </w:r>
      <w:r w:rsidR="00492B1F" w:rsidRPr="00201B87">
        <w:rPr>
          <w:rFonts w:ascii="Garamond" w:hAnsi="Garamond"/>
          <w:b/>
        </w:rPr>
        <w:t xml:space="preserve">. </w:t>
      </w:r>
      <w:r w:rsidR="00BB6714">
        <w:rPr>
          <w:rFonts w:ascii="Garamond" w:hAnsi="Garamond"/>
          <w:b/>
        </w:rPr>
        <w:t xml:space="preserve"> Retain</w:t>
      </w:r>
      <w:r w:rsidR="00201B87">
        <w:rPr>
          <w:rFonts w:ascii="Garamond" w:hAnsi="Garamond"/>
          <w:b/>
        </w:rPr>
        <w:t xml:space="preserve"> </w:t>
      </w:r>
      <w:r w:rsidR="00974134">
        <w:rPr>
          <w:rFonts w:ascii="Garamond" w:hAnsi="Garamond"/>
          <w:b/>
        </w:rPr>
        <w:t>livestock-</w:t>
      </w:r>
      <w:r w:rsidR="00492B1F" w:rsidRPr="00201B87">
        <w:rPr>
          <w:rFonts w:ascii="Garamond" w:hAnsi="Garamond"/>
          <w:b/>
        </w:rPr>
        <w:t>crop integration</w:t>
      </w:r>
      <w:r w:rsidR="00201B87">
        <w:rPr>
          <w:rFonts w:ascii="Garamond" w:hAnsi="Garamond"/>
          <w:b/>
        </w:rPr>
        <w:t xml:space="preserve"> as a priority for organic animal production </w:t>
      </w:r>
      <w:r w:rsidR="00974134">
        <w:rPr>
          <w:rFonts w:ascii="Garamond" w:hAnsi="Garamond"/>
          <w:b/>
        </w:rPr>
        <w:t xml:space="preserve">systems </w:t>
      </w:r>
      <w:r w:rsidR="00201B87">
        <w:rPr>
          <w:rFonts w:ascii="Garamond" w:hAnsi="Garamond"/>
          <w:b/>
        </w:rPr>
        <w:t>research.</w:t>
      </w:r>
      <w:r w:rsidR="00BB6714">
        <w:rPr>
          <w:rFonts w:ascii="Garamond" w:hAnsi="Garamond"/>
          <w:b/>
        </w:rPr>
        <w:t xml:space="preserve"> (Part IB Priority I)</w:t>
      </w:r>
    </w:p>
    <w:p w14:paraId="235FC160" w14:textId="77777777" w:rsidR="00840106" w:rsidRDefault="00840106" w:rsidP="005B0A8F">
      <w:pPr>
        <w:rPr>
          <w:rFonts w:ascii="Garamond" w:hAnsi="Garamond"/>
          <w:b/>
        </w:rPr>
      </w:pPr>
    </w:p>
    <w:p w14:paraId="15CDD288" w14:textId="59DB50B0" w:rsidR="0065652F" w:rsidRPr="00840106" w:rsidRDefault="00840106" w:rsidP="0065652F">
      <w:pPr>
        <w:rPr>
          <w:rFonts w:ascii="Garamond" w:hAnsi="Garamond"/>
        </w:rPr>
      </w:pPr>
      <w:r>
        <w:rPr>
          <w:rFonts w:ascii="Garamond" w:hAnsi="Garamond"/>
        </w:rPr>
        <w:t>Research on organic animal production is critically important</w:t>
      </w:r>
      <w:r w:rsidR="003D28BE">
        <w:rPr>
          <w:rFonts w:ascii="Garamond" w:hAnsi="Garamond"/>
        </w:rPr>
        <w:t>,</w:t>
      </w:r>
      <w:r>
        <w:rPr>
          <w:rFonts w:ascii="Garamond" w:hAnsi="Garamond"/>
        </w:rPr>
        <w:t xml:space="preserve"> and we suppo</w:t>
      </w:r>
      <w:r w:rsidR="00E2332A">
        <w:rPr>
          <w:rFonts w:ascii="Garamond" w:hAnsi="Garamond"/>
        </w:rPr>
        <w:t xml:space="preserve">rt the inclusion of </w:t>
      </w:r>
      <w:r w:rsidR="0065652F">
        <w:rPr>
          <w:rFonts w:ascii="Garamond" w:hAnsi="Garamond"/>
        </w:rPr>
        <w:t>a reference to livestock-crop in</w:t>
      </w:r>
      <w:r w:rsidR="000C4A7B">
        <w:rPr>
          <w:rFonts w:ascii="Garamond" w:hAnsi="Garamond"/>
        </w:rPr>
        <w:t>tegration research in Priority I</w:t>
      </w:r>
      <w:r w:rsidR="003D28BE">
        <w:rPr>
          <w:rFonts w:ascii="Garamond" w:hAnsi="Garamond"/>
        </w:rPr>
        <w:t xml:space="preserve">.  </w:t>
      </w:r>
      <w:r w:rsidR="0065652F">
        <w:rPr>
          <w:rFonts w:ascii="Garamond" w:hAnsi="Garamond"/>
        </w:rPr>
        <w:t xml:space="preserve">Integrated livestock-crop systems have the potential to enhance soil and livestock health, maximize the efficiency of within-farm nutrient cycling, reduce the need to import nutrients and other off-farm inputs, and reduce manure- and nutrient-related threats to water quality.  Thus, diversified crop-livestock systems can provide significant financial and environmental benefits to producers and surrounding communities.  Additional research is needed to optimize management practices for organically managed, integrated </w:t>
      </w:r>
      <w:r w:rsidR="0065652F">
        <w:rPr>
          <w:rFonts w:ascii="Garamond" w:hAnsi="Garamond"/>
        </w:rPr>
        <w:lastRenderedPageBreak/>
        <w:t>crop-livestock production systems.  Extension and education components of OREI projects on this topic are also needed in order to disseminate key research findings to organic producers so those benefits may be fully realized.</w:t>
      </w:r>
    </w:p>
    <w:p w14:paraId="14127091" w14:textId="77777777" w:rsidR="0065652F" w:rsidRDefault="0065652F" w:rsidP="0065652F">
      <w:pPr>
        <w:rPr>
          <w:rFonts w:ascii="Garamond" w:hAnsi="Garamond"/>
        </w:rPr>
      </w:pPr>
    </w:p>
    <w:p w14:paraId="67F84034" w14:textId="5BC5867E" w:rsidR="0065652F" w:rsidRPr="00201B87" w:rsidRDefault="0065652F" w:rsidP="0065652F">
      <w:pPr>
        <w:rPr>
          <w:rFonts w:ascii="Garamond" w:hAnsi="Garamond"/>
          <w:b/>
        </w:rPr>
      </w:pPr>
      <w:r>
        <w:rPr>
          <w:rFonts w:ascii="Garamond" w:hAnsi="Garamond"/>
          <w:b/>
        </w:rPr>
        <w:t>8</w:t>
      </w:r>
      <w:r w:rsidRPr="00201B87">
        <w:rPr>
          <w:rFonts w:ascii="Garamond" w:hAnsi="Garamond"/>
          <w:b/>
        </w:rPr>
        <w:t xml:space="preserve">. </w:t>
      </w:r>
      <w:r>
        <w:rPr>
          <w:rFonts w:ascii="Garamond" w:hAnsi="Garamond"/>
          <w:b/>
        </w:rPr>
        <w:t>Retain the link to the</w:t>
      </w:r>
      <w:r w:rsidRPr="00201B87">
        <w:rPr>
          <w:rFonts w:ascii="Garamond" w:hAnsi="Garamond"/>
          <w:b/>
        </w:rPr>
        <w:t xml:space="preserve"> National Organic Standards Board’s</w:t>
      </w:r>
      <w:r>
        <w:rPr>
          <w:rFonts w:ascii="Garamond" w:hAnsi="Garamond"/>
          <w:b/>
        </w:rPr>
        <w:t xml:space="preserve"> (NOSB)</w:t>
      </w:r>
      <w:r w:rsidRPr="00201B87">
        <w:rPr>
          <w:rFonts w:ascii="Garamond" w:hAnsi="Garamond"/>
          <w:b/>
        </w:rPr>
        <w:t xml:space="preserve"> re</w:t>
      </w:r>
      <w:r>
        <w:rPr>
          <w:rFonts w:ascii="Garamond" w:hAnsi="Garamond"/>
          <w:b/>
        </w:rPr>
        <w:t>search priorities in</w:t>
      </w:r>
      <w:r w:rsidRPr="00201B87">
        <w:rPr>
          <w:rFonts w:ascii="Garamond" w:hAnsi="Garamond"/>
          <w:b/>
        </w:rPr>
        <w:t xml:space="preserve"> the RFA</w:t>
      </w:r>
      <w:r>
        <w:rPr>
          <w:rFonts w:ascii="Garamond" w:hAnsi="Garamond"/>
          <w:b/>
        </w:rPr>
        <w:t>.</w:t>
      </w:r>
    </w:p>
    <w:p w14:paraId="39C3F54A" w14:textId="77777777" w:rsidR="0065652F" w:rsidRDefault="0065652F" w:rsidP="0065652F">
      <w:pPr>
        <w:rPr>
          <w:rFonts w:ascii="Garamond" w:hAnsi="Garamond"/>
        </w:rPr>
      </w:pPr>
    </w:p>
    <w:p w14:paraId="2DA5EF07" w14:textId="260AD005" w:rsidR="0065652F" w:rsidRDefault="0065652F" w:rsidP="0065652F">
      <w:pPr>
        <w:rPr>
          <w:rFonts w:ascii="Garamond" w:hAnsi="Garamond"/>
        </w:rPr>
      </w:pPr>
      <w:r>
        <w:rPr>
          <w:rFonts w:ascii="Garamond" w:hAnsi="Garamond"/>
        </w:rPr>
        <w:t>Each year, NOSB recommends a list of organic resear</w:t>
      </w:r>
      <w:r w:rsidR="001B206E">
        <w:rPr>
          <w:rFonts w:ascii="Garamond" w:hAnsi="Garamond"/>
        </w:rPr>
        <w:t>ch priorities to USDA, which includes</w:t>
      </w:r>
      <w:r>
        <w:rPr>
          <w:rFonts w:ascii="Garamond" w:hAnsi="Garamond"/>
        </w:rPr>
        <w:t xml:space="preserve"> a variety of worthy research topics</w:t>
      </w:r>
      <w:r w:rsidR="00EB05C2">
        <w:rPr>
          <w:rFonts w:ascii="Garamond" w:hAnsi="Garamond"/>
        </w:rPr>
        <w:t>.  The most recent list was transmitted in August 2014, and included priorities</w:t>
      </w:r>
      <w:r>
        <w:rPr>
          <w:rFonts w:ascii="Garamond" w:hAnsi="Garamond"/>
        </w:rPr>
        <w:t xml:space="preserve"> such as whole farm systems, poultry nutrition, preventative livestock health strategies, unintended introduction of </w:t>
      </w:r>
      <w:r w:rsidRPr="00FE1EBD">
        <w:rPr>
          <w:rFonts w:ascii="Garamond" w:hAnsi="Garamond"/>
        </w:rPr>
        <w:t>genetically engineered material (GMO)</w:t>
      </w:r>
      <w:r>
        <w:rPr>
          <w:rFonts w:ascii="Garamond" w:hAnsi="Garamond"/>
        </w:rPr>
        <w:t xml:space="preserve"> into plant breeding lines</w:t>
      </w:r>
      <w:r w:rsidRPr="00FE1EBD">
        <w:rPr>
          <w:rFonts w:ascii="Garamond" w:hAnsi="Garamond"/>
        </w:rPr>
        <w:t xml:space="preserve"> and the fate of GMO material in compost.</w:t>
      </w:r>
      <w:r>
        <w:rPr>
          <w:rFonts w:ascii="Garamond" w:hAnsi="Garamond"/>
        </w:rPr>
        <w:t xml:space="preserve">  </w:t>
      </w:r>
    </w:p>
    <w:p w14:paraId="51CF9C89" w14:textId="77777777" w:rsidR="0065652F" w:rsidRDefault="0065652F" w:rsidP="0065652F">
      <w:pPr>
        <w:rPr>
          <w:rFonts w:ascii="Garamond" w:hAnsi="Garamond"/>
        </w:rPr>
      </w:pPr>
    </w:p>
    <w:p w14:paraId="24B50811" w14:textId="75DDEAEE" w:rsidR="0065652F" w:rsidRDefault="0065652F" w:rsidP="0065652F">
      <w:pPr>
        <w:rPr>
          <w:rFonts w:ascii="Garamond" w:hAnsi="Garamond"/>
        </w:rPr>
      </w:pPr>
      <w:r>
        <w:rPr>
          <w:rFonts w:ascii="Garamond" w:hAnsi="Garamond"/>
        </w:rPr>
        <w:t>As an official advisor to USDA, we believe NOSB’s priorities should be fully integrated into OREI RFAs – as they align with the priorities outlined in statute.</w:t>
      </w:r>
      <w:r w:rsidR="00DA784A">
        <w:rPr>
          <w:rFonts w:ascii="Garamond" w:hAnsi="Garamond"/>
        </w:rPr>
        <w:t xml:space="preserve">  It is our understanding that a new list of NOSB priorities is being </w:t>
      </w:r>
      <w:r w:rsidR="00A0522B">
        <w:rPr>
          <w:rFonts w:ascii="Garamond" w:hAnsi="Garamond"/>
        </w:rPr>
        <w:t>developed</w:t>
      </w:r>
      <w:r w:rsidR="00DA784A">
        <w:rPr>
          <w:rFonts w:ascii="Garamond" w:hAnsi="Garamond"/>
        </w:rPr>
        <w:t xml:space="preserve"> for 2015.</w:t>
      </w:r>
      <w:r w:rsidR="00A0522B">
        <w:rPr>
          <w:rFonts w:ascii="Garamond" w:hAnsi="Garamond"/>
        </w:rPr>
        <w:t xml:space="preserve">  If the new priorities are issued in time, we recommend they be included in the next RFA.</w:t>
      </w:r>
    </w:p>
    <w:p w14:paraId="33E2B2CC" w14:textId="77777777" w:rsidR="0065652F" w:rsidRDefault="0065652F" w:rsidP="005B0A8F">
      <w:pPr>
        <w:rPr>
          <w:rFonts w:ascii="Garamond" w:hAnsi="Garamond"/>
        </w:rPr>
      </w:pPr>
    </w:p>
    <w:p w14:paraId="4774D410" w14:textId="77777777" w:rsidR="0065652F" w:rsidRDefault="0065652F" w:rsidP="005B0A8F">
      <w:pPr>
        <w:rPr>
          <w:rFonts w:ascii="Garamond" w:hAnsi="Garamond"/>
        </w:rPr>
      </w:pPr>
    </w:p>
    <w:p w14:paraId="633433D7" w14:textId="735AB4F8" w:rsidR="0065652F" w:rsidRPr="0069621C" w:rsidRDefault="0065652F" w:rsidP="0065652F">
      <w:pPr>
        <w:rPr>
          <w:rFonts w:ascii="Garamond" w:hAnsi="Garamond"/>
          <w:b/>
          <w:bCs/>
          <w:smallCaps/>
          <w:u w:val="single"/>
        </w:rPr>
      </w:pPr>
      <w:r>
        <w:rPr>
          <w:rFonts w:ascii="Garamond" w:hAnsi="Garamond"/>
          <w:b/>
          <w:bCs/>
          <w:smallCaps/>
          <w:u w:val="single"/>
        </w:rPr>
        <w:t>Purpose and Priorities</w:t>
      </w:r>
      <w:r w:rsidRPr="0069621C">
        <w:rPr>
          <w:rFonts w:ascii="Garamond" w:hAnsi="Garamond"/>
          <w:b/>
          <w:bCs/>
          <w:smallCaps/>
          <w:u w:val="single"/>
        </w:rPr>
        <w:t xml:space="preserve"> Recommendation</w:t>
      </w:r>
      <w:r>
        <w:rPr>
          <w:rFonts w:ascii="Garamond" w:hAnsi="Garamond"/>
          <w:b/>
          <w:bCs/>
          <w:smallCaps/>
          <w:u w:val="single"/>
        </w:rPr>
        <w:t xml:space="preserve"> (Part IB</w:t>
      </w:r>
      <w:r w:rsidRPr="0069621C">
        <w:rPr>
          <w:rFonts w:ascii="Garamond" w:hAnsi="Garamond"/>
          <w:b/>
          <w:bCs/>
          <w:smallCaps/>
          <w:u w:val="single"/>
        </w:rPr>
        <w:t>)</w:t>
      </w:r>
    </w:p>
    <w:p w14:paraId="535AE74B" w14:textId="77777777" w:rsidR="0065652F" w:rsidRDefault="0065652F" w:rsidP="005B0A8F">
      <w:pPr>
        <w:rPr>
          <w:rFonts w:ascii="Garamond" w:hAnsi="Garamond"/>
        </w:rPr>
      </w:pPr>
    </w:p>
    <w:p w14:paraId="249D3168" w14:textId="77777777" w:rsidR="0065652F" w:rsidRDefault="0065652F" w:rsidP="005B0A8F">
      <w:pPr>
        <w:rPr>
          <w:rFonts w:ascii="Garamond" w:hAnsi="Garamond"/>
        </w:rPr>
      </w:pPr>
    </w:p>
    <w:p w14:paraId="64BD885F" w14:textId="49DE51ED" w:rsidR="00073F87" w:rsidRDefault="0065652F" w:rsidP="005B0A8F">
      <w:pPr>
        <w:rPr>
          <w:rFonts w:ascii="Garamond" w:hAnsi="Garamond"/>
          <w:b/>
        </w:rPr>
      </w:pPr>
      <w:r w:rsidRPr="0065652F">
        <w:rPr>
          <w:rFonts w:ascii="Garamond" w:hAnsi="Garamond"/>
          <w:b/>
        </w:rPr>
        <w:t xml:space="preserve">1.  </w:t>
      </w:r>
      <w:r w:rsidR="003439C0">
        <w:rPr>
          <w:rFonts w:ascii="Garamond" w:hAnsi="Garamond"/>
          <w:b/>
        </w:rPr>
        <w:t>We support the addition of “Projects dealing solely with cultivar evaluations do not fit under</w:t>
      </w:r>
      <w:r w:rsidR="00A0522B">
        <w:rPr>
          <w:rFonts w:ascii="Garamond" w:hAnsi="Garamond"/>
          <w:b/>
        </w:rPr>
        <w:t xml:space="preserve"> this priority” to priority 4</w:t>
      </w:r>
      <w:r w:rsidR="003439C0">
        <w:rPr>
          <w:rFonts w:ascii="Garamond" w:hAnsi="Garamond"/>
          <w:b/>
        </w:rPr>
        <w:t>. (Part IB Priority 4)</w:t>
      </w:r>
    </w:p>
    <w:p w14:paraId="3C4C768E" w14:textId="77777777" w:rsidR="003439C0" w:rsidRDefault="003439C0" w:rsidP="005B0A8F">
      <w:pPr>
        <w:rPr>
          <w:rFonts w:ascii="Garamond" w:hAnsi="Garamond"/>
          <w:b/>
        </w:rPr>
      </w:pPr>
    </w:p>
    <w:p w14:paraId="547B8DDC" w14:textId="67AAE00A" w:rsidR="003439C0" w:rsidRDefault="003439C0" w:rsidP="005B0A8F">
      <w:pPr>
        <w:rPr>
          <w:rFonts w:ascii="Garamond" w:hAnsi="Garamond"/>
        </w:rPr>
      </w:pPr>
      <w:r w:rsidRPr="003439C0">
        <w:rPr>
          <w:rFonts w:ascii="Garamond" w:hAnsi="Garamond"/>
        </w:rPr>
        <w:t>NSAC is strongly supportive of the development of new publically available organic seed varieties.</w:t>
      </w:r>
      <w:r>
        <w:rPr>
          <w:rFonts w:ascii="Garamond" w:hAnsi="Garamond"/>
        </w:rPr>
        <w:t xml:space="preserve">  This provision could increase the incentive to include a substantive breeding and/or organic seed production component in an application.  The organic community is in great need of new cultivars. </w:t>
      </w:r>
    </w:p>
    <w:p w14:paraId="2161C384" w14:textId="77777777" w:rsidR="003439C0" w:rsidRDefault="003439C0" w:rsidP="005B0A8F">
      <w:pPr>
        <w:rPr>
          <w:rFonts w:ascii="Garamond" w:hAnsi="Garamond"/>
        </w:rPr>
      </w:pPr>
    </w:p>
    <w:p w14:paraId="3E96574D" w14:textId="4B815D0F" w:rsidR="003439C0" w:rsidRPr="003439C0" w:rsidRDefault="003439C0" w:rsidP="005B0A8F">
      <w:pPr>
        <w:rPr>
          <w:rFonts w:ascii="Garamond" w:hAnsi="Garamond"/>
          <w:b/>
        </w:rPr>
      </w:pPr>
      <w:r w:rsidRPr="003439C0">
        <w:rPr>
          <w:rFonts w:ascii="Garamond" w:hAnsi="Garamond"/>
          <w:b/>
        </w:rPr>
        <w:t>2. Consider including language in the priorities section that prioritizes t</w:t>
      </w:r>
      <w:r w:rsidR="00FC62D9">
        <w:rPr>
          <w:rFonts w:ascii="Garamond" w:hAnsi="Garamond"/>
          <w:b/>
        </w:rPr>
        <w:t>he development of new publicly</w:t>
      </w:r>
      <w:r w:rsidRPr="003439C0">
        <w:rPr>
          <w:rFonts w:ascii="Garamond" w:hAnsi="Garamond"/>
          <w:b/>
        </w:rPr>
        <w:t xml:space="preserve"> available cultivars and that encourages applications from public cultivar developers. </w:t>
      </w:r>
    </w:p>
    <w:p w14:paraId="788C876E" w14:textId="77777777" w:rsidR="00073F87" w:rsidRDefault="00073F87" w:rsidP="005B0A8F">
      <w:pPr>
        <w:rPr>
          <w:rFonts w:ascii="Garamond" w:hAnsi="Garamond"/>
          <w:b/>
        </w:rPr>
      </w:pPr>
    </w:p>
    <w:p w14:paraId="4234909B" w14:textId="42ED026C" w:rsidR="00073F87" w:rsidRPr="003439C0" w:rsidRDefault="003439C0" w:rsidP="005B0A8F">
      <w:pPr>
        <w:rPr>
          <w:rFonts w:ascii="Garamond" w:hAnsi="Garamond"/>
        </w:rPr>
      </w:pPr>
      <w:r w:rsidRPr="003439C0">
        <w:rPr>
          <w:rFonts w:ascii="Garamond" w:hAnsi="Garamond"/>
        </w:rPr>
        <w:t>The number of public plant breede</w:t>
      </w:r>
      <w:r>
        <w:rPr>
          <w:rFonts w:ascii="Garamond" w:hAnsi="Garamond"/>
        </w:rPr>
        <w:t>rs in this country is shrinking and the OREI program should support</w:t>
      </w:r>
      <w:r w:rsidR="00A0522B">
        <w:rPr>
          <w:rFonts w:ascii="Garamond" w:hAnsi="Garamond"/>
        </w:rPr>
        <w:t>,</w:t>
      </w:r>
      <w:r>
        <w:rPr>
          <w:rFonts w:ascii="Garamond" w:hAnsi="Garamond"/>
        </w:rPr>
        <w:t xml:space="preserve"> as much as possible</w:t>
      </w:r>
      <w:r w:rsidR="00A0522B">
        <w:rPr>
          <w:rFonts w:ascii="Garamond" w:hAnsi="Garamond"/>
        </w:rPr>
        <w:t>, public cultivar developers.  OREI</w:t>
      </w:r>
      <w:r>
        <w:rPr>
          <w:rFonts w:ascii="Garamond" w:hAnsi="Garamond"/>
        </w:rPr>
        <w:t xml:space="preserve"> should be a tool to increase the number of public cultivar developers, which will ensure that organic producers wi</w:t>
      </w:r>
      <w:r w:rsidR="00300BF2">
        <w:rPr>
          <w:rFonts w:ascii="Garamond" w:hAnsi="Garamond"/>
        </w:rPr>
        <w:t>ll have access to the seed best suited for their method of production.</w:t>
      </w:r>
    </w:p>
    <w:p w14:paraId="06E9ED06" w14:textId="77777777" w:rsidR="003439C0" w:rsidRDefault="003439C0" w:rsidP="005B0A8F">
      <w:pPr>
        <w:rPr>
          <w:rFonts w:ascii="Garamond" w:hAnsi="Garamond"/>
          <w:b/>
        </w:rPr>
      </w:pPr>
    </w:p>
    <w:p w14:paraId="79DD8BBF" w14:textId="598DCDAD" w:rsidR="0065652F" w:rsidRPr="0065652F" w:rsidRDefault="00A16DA4" w:rsidP="005B0A8F">
      <w:pPr>
        <w:rPr>
          <w:rFonts w:ascii="Garamond" w:hAnsi="Garamond"/>
          <w:b/>
        </w:rPr>
      </w:pPr>
      <w:r>
        <w:rPr>
          <w:rFonts w:ascii="Garamond" w:hAnsi="Garamond"/>
          <w:b/>
        </w:rPr>
        <w:t>3</w:t>
      </w:r>
      <w:r w:rsidR="00073F87">
        <w:rPr>
          <w:rFonts w:ascii="Garamond" w:hAnsi="Garamond"/>
          <w:b/>
        </w:rPr>
        <w:t>.</w:t>
      </w:r>
      <w:r>
        <w:rPr>
          <w:rFonts w:ascii="Garamond" w:hAnsi="Garamond"/>
          <w:b/>
        </w:rPr>
        <w:t xml:space="preserve"> </w:t>
      </w:r>
      <w:r w:rsidR="0065652F" w:rsidRPr="0065652F">
        <w:rPr>
          <w:rFonts w:ascii="Garamond" w:hAnsi="Garamond"/>
          <w:b/>
        </w:rPr>
        <w:t xml:space="preserve">Modify Priorities </w:t>
      </w:r>
      <w:r w:rsidR="003439C0">
        <w:rPr>
          <w:rFonts w:ascii="Garamond" w:hAnsi="Garamond"/>
          <w:b/>
        </w:rPr>
        <w:t>six and seven</w:t>
      </w:r>
      <w:r w:rsidR="0065652F" w:rsidRPr="0065652F">
        <w:rPr>
          <w:rFonts w:ascii="Garamond" w:hAnsi="Garamond"/>
          <w:b/>
        </w:rPr>
        <w:t xml:space="preserve"> to better reflect </w:t>
      </w:r>
      <w:r w:rsidR="00073F87" w:rsidRPr="0065652F">
        <w:rPr>
          <w:rFonts w:ascii="Garamond" w:hAnsi="Garamond"/>
          <w:b/>
        </w:rPr>
        <w:t>a system</w:t>
      </w:r>
      <w:r w:rsidR="00073F87">
        <w:rPr>
          <w:rFonts w:ascii="Garamond" w:hAnsi="Garamond"/>
          <w:b/>
        </w:rPr>
        <w:t>s</w:t>
      </w:r>
      <w:r w:rsidR="00FC62D9">
        <w:rPr>
          <w:rFonts w:ascii="Garamond" w:hAnsi="Garamond"/>
          <w:b/>
        </w:rPr>
        <w:t>-</w:t>
      </w:r>
      <w:r w:rsidR="0065652F" w:rsidRPr="0065652F">
        <w:rPr>
          <w:rFonts w:ascii="Garamond" w:hAnsi="Garamond"/>
          <w:b/>
        </w:rPr>
        <w:t>based approach to livestock production and reduce the emphasis on confinement and single an</w:t>
      </w:r>
      <w:r w:rsidR="001B206E">
        <w:rPr>
          <w:rFonts w:ascii="Garamond" w:hAnsi="Garamond"/>
          <w:b/>
        </w:rPr>
        <w:t>imal type systems</w:t>
      </w:r>
      <w:r w:rsidR="0065652F" w:rsidRPr="0065652F">
        <w:rPr>
          <w:rFonts w:ascii="Garamond" w:hAnsi="Garamond"/>
          <w:b/>
        </w:rPr>
        <w:t xml:space="preserve">. </w:t>
      </w:r>
      <w:r w:rsidR="0065652F">
        <w:rPr>
          <w:rFonts w:ascii="Garamond" w:hAnsi="Garamond"/>
          <w:b/>
        </w:rPr>
        <w:t xml:space="preserve"> (Part IB Priorities 6,7)</w:t>
      </w:r>
    </w:p>
    <w:p w14:paraId="774FCCC1" w14:textId="77777777" w:rsidR="00F222D2" w:rsidRDefault="00F222D2" w:rsidP="005B0A8F">
      <w:pPr>
        <w:rPr>
          <w:rFonts w:ascii="Garamond" w:hAnsi="Garamond"/>
        </w:rPr>
      </w:pPr>
    </w:p>
    <w:p w14:paraId="50E84BB9" w14:textId="426D7B55" w:rsidR="00C168DB" w:rsidRDefault="00300BF2" w:rsidP="00CE75A6">
      <w:pPr>
        <w:rPr>
          <w:rFonts w:ascii="Garamond" w:hAnsi="Garamond"/>
        </w:rPr>
      </w:pPr>
      <w:r>
        <w:rPr>
          <w:rFonts w:ascii="Garamond" w:hAnsi="Garamond"/>
        </w:rPr>
        <w:t>NSAC wants to ensure that OREI support</w:t>
      </w:r>
      <w:r w:rsidR="00A0522B">
        <w:rPr>
          <w:rFonts w:ascii="Garamond" w:hAnsi="Garamond"/>
        </w:rPr>
        <w:t>s</w:t>
      </w:r>
      <w:r>
        <w:rPr>
          <w:rFonts w:ascii="Garamond" w:hAnsi="Garamond"/>
        </w:rPr>
        <w:t xml:space="preserve"> research that is </w:t>
      </w:r>
      <w:r w:rsidR="00A16DA4">
        <w:rPr>
          <w:rFonts w:ascii="Garamond" w:hAnsi="Garamond"/>
        </w:rPr>
        <w:t>consistent with NOP standards</w:t>
      </w:r>
      <w:r w:rsidR="00A0522B">
        <w:rPr>
          <w:rFonts w:ascii="Garamond" w:hAnsi="Garamond"/>
        </w:rPr>
        <w:t xml:space="preserve"> and</w:t>
      </w:r>
      <w:r>
        <w:rPr>
          <w:rFonts w:ascii="Garamond" w:hAnsi="Garamond"/>
        </w:rPr>
        <w:t xml:space="preserve"> that supports sustainable agriculture, which includes integrated livestock and cropping systems.  While animal productivity and economic viability are important priorities, we are concerned that OREI could </w:t>
      </w:r>
      <w:r w:rsidR="00A0522B">
        <w:rPr>
          <w:rFonts w:ascii="Garamond" w:hAnsi="Garamond"/>
        </w:rPr>
        <w:t>favor</w:t>
      </w:r>
      <w:r w:rsidR="00A16DA4">
        <w:rPr>
          <w:rFonts w:ascii="Garamond" w:hAnsi="Garamond"/>
        </w:rPr>
        <w:t xml:space="preserve"> research into </w:t>
      </w:r>
      <w:r w:rsidR="00FC62D9">
        <w:rPr>
          <w:rFonts w:ascii="Garamond" w:hAnsi="Garamond"/>
        </w:rPr>
        <w:t>specialized</w:t>
      </w:r>
      <w:r w:rsidR="00A16DA4">
        <w:rPr>
          <w:rFonts w:ascii="Garamond" w:hAnsi="Garamond"/>
        </w:rPr>
        <w:t xml:space="preserve"> confinement</w:t>
      </w:r>
      <w:r w:rsidR="00FC62D9">
        <w:rPr>
          <w:rFonts w:ascii="Garamond" w:hAnsi="Garamond"/>
        </w:rPr>
        <w:t xml:space="preserve"> systems that are unsustainable and contrary to the </w:t>
      </w:r>
      <w:r w:rsidR="00A0522B">
        <w:rPr>
          <w:rFonts w:ascii="Garamond" w:hAnsi="Garamond"/>
        </w:rPr>
        <w:t>s</w:t>
      </w:r>
      <w:r w:rsidR="00FC62D9">
        <w:rPr>
          <w:rFonts w:ascii="Garamond" w:hAnsi="Garamond"/>
        </w:rPr>
        <w:t>pirit of the NOP</w:t>
      </w:r>
      <w:r w:rsidR="00A0522B">
        <w:rPr>
          <w:rFonts w:ascii="Garamond" w:hAnsi="Garamond"/>
        </w:rPr>
        <w:t>.</w:t>
      </w:r>
      <w:r>
        <w:rPr>
          <w:rFonts w:ascii="Garamond" w:hAnsi="Garamond"/>
        </w:rPr>
        <w:t xml:space="preserve"> </w:t>
      </w:r>
    </w:p>
    <w:p w14:paraId="693A2F71" w14:textId="77777777" w:rsidR="00300BF2" w:rsidRPr="00DE0DF2" w:rsidRDefault="00300BF2" w:rsidP="00CE75A6">
      <w:pPr>
        <w:rPr>
          <w:rFonts w:ascii="Garamond" w:hAnsi="Garamond"/>
        </w:rPr>
      </w:pPr>
    </w:p>
    <w:p w14:paraId="1A3E4C75" w14:textId="63BBE2C0" w:rsidR="00E45012" w:rsidRPr="00A16DA4" w:rsidRDefault="00A0522B" w:rsidP="00807D5B">
      <w:pPr>
        <w:rPr>
          <w:rFonts w:ascii="Garamond" w:hAnsi="Garamond"/>
          <w:b/>
        </w:rPr>
      </w:pPr>
      <w:r>
        <w:rPr>
          <w:rFonts w:ascii="Garamond" w:hAnsi="Garamond"/>
          <w:b/>
        </w:rPr>
        <w:lastRenderedPageBreak/>
        <w:t>4</w:t>
      </w:r>
      <w:r w:rsidR="0056204C">
        <w:rPr>
          <w:rFonts w:ascii="Garamond" w:hAnsi="Garamond"/>
          <w:b/>
        </w:rPr>
        <w:t>.  Expand</w:t>
      </w:r>
      <w:r w:rsidR="000E37AE">
        <w:rPr>
          <w:rFonts w:ascii="Garamond" w:hAnsi="Garamond"/>
          <w:b/>
        </w:rPr>
        <w:t xml:space="preserve"> new</w:t>
      </w:r>
      <w:r w:rsidR="00A16DA4" w:rsidRPr="00A16DA4">
        <w:rPr>
          <w:rFonts w:ascii="Garamond" w:hAnsi="Garamond"/>
          <w:b/>
        </w:rPr>
        <w:t xml:space="preserve"> curriculum</w:t>
      </w:r>
      <w:r w:rsidR="000E37AE">
        <w:rPr>
          <w:rFonts w:ascii="Garamond" w:hAnsi="Garamond"/>
          <w:b/>
        </w:rPr>
        <w:t xml:space="preserve"> priority to allow development of curriculum for</w:t>
      </w:r>
      <w:r w:rsidR="00A16DA4" w:rsidRPr="00A16DA4">
        <w:rPr>
          <w:rFonts w:ascii="Garamond" w:hAnsi="Garamond"/>
          <w:b/>
        </w:rPr>
        <w:t xml:space="preserve"> farmers </w:t>
      </w:r>
      <w:r w:rsidR="000E37AE">
        <w:rPr>
          <w:rFonts w:ascii="Garamond" w:hAnsi="Garamond"/>
          <w:b/>
        </w:rPr>
        <w:t>and other information consumers</w:t>
      </w:r>
      <w:r w:rsidR="00A16DA4" w:rsidRPr="00A16DA4">
        <w:rPr>
          <w:rFonts w:ascii="Garamond" w:hAnsi="Garamond"/>
          <w:b/>
        </w:rPr>
        <w:t>.</w:t>
      </w:r>
      <w:r w:rsidR="00F10608">
        <w:rPr>
          <w:rFonts w:ascii="Garamond" w:hAnsi="Garamond"/>
          <w:b/>
        </w:rPr>
        <w:t xml:space="preserve"> (Part IB 8)</w:t>
      </w:r>
    </w:p>
    <w:p w14:paraId="3AE8BF1F" w14:textId="77777777" w:rsidR="00A16DA4" w:rsidRDefault="00A16DA4" w:rsidP="00807D5B">
      <w:pPr>
        <w:rPr>
          <w:rFonts w:ascii="Garamond" w:hAnsi="Garamond"/>
        </w:rPr>
      </w:pPr>
    </w:p>
    <w:p w14:paraId="214E8260" w14:textId="54FC94A8" w:rsidR="00A16DA4" w:rsidRDefault="00A16DA4" w:rsidP="00807D5B">
      <w:pPr>
        <w:rPr>
          <w:rFonts w:ascii="Garamond" w:hAnsi="Garamond"/>
        </w:rPr>
      </w:pPr>
      <w:r>
        <w:rPr>
          <w:rFonts w:ascii="Garamond" w:hAnsi="Garamond"/>
        </w:rPr>
        <w:t>This new priority seems to exclusively benefit land grant and non-land grant colle</w:t>
      </w:r>
      <w:r w:rsidR="000E37AE">
        <w:rPr>
          <w:rFonts w:ascii="Garamond" w:hAnsi="Garamond"/>
        </w:rPr>
        <w:t>ges of agriculture</w:t>
      </w:r>
      <w:r>
        <w:rPr>
          <w:rFonts w:ascii="Garamond" w:hAnsi="Garamond"/>
        </w:rPr>
        <w:t xml:space="preserve"> and other universities</w:t>
      </w:r>
      <w:r w:rsidR="000E37AE">
        <w:rPr>
          <w:rFonts w:ascii="Garamond" w:hAnsi="Garamond"/>
        </w:rPr>
        <w:t xml:space="preserve">.  </w:t>
      </w:r>
      <w:r w:rsidR="00F10608">
        <w:rPr>
          <w:rFonts w:ascii="Garamond" w:hAnsi="Garamond"/>
        </w:rPr>
        <w:t xml:space="preserve">While the 2014 farm bill did add education as a component of the OREI program, education does not </w:t>
      </w:r>
      <w:r>
        <w:rPr>
          <w:rFonts w:ascii="Garamond" w:hAnsi="Garamond"/>
        </w:rPr>
        <w:t>appear in the legislatively defined goals of the program</w:t>
      </w:r>
      <w:r w:rsidR="00F10608">
        <w:rPr>
          <w:rFonts w:ascii="Garamond" w:hAnsi="Garamond"/>
        </w:rPr>
        <w:t xml:space="preserve">. </w:t>
      </w:r>
    </w:p>
    <w:p w14:paraId="404C81F5" w14:textId="77777777" w:rsidR="00A16DA4" w:rsidRDefault="00A16DA4" w:rsidP="00807D5B">
      <w:pPr>
        <w:rPr>
          <w:rFonts w:ascii="Garamond" w:hAnsi="Garamond"/>
        </w:rPr>
      </w:pPr>
    </w:p>
    <w:p w14:paraId="2F72CD4D" w14:textId="443AE482" w:rsidR="00F10608" w:rsidRDefault="00107E2D" w:rsidP="00807D5B">
      <w:pPr>
        <w:rPr>
          <w:rFonts w:ascii="Garamond" w:hAnsi="Garamond"/>
        </w:rPr>
      </w:pPr>
      <w:r>
        <w:rPr>
          <w:rFonts w:ascii="Garamond" w:hAnsi="Garamond"/>
        </w:rPr>
        <w:t>As noted in OREI’s</w:t>
      </w:r>
      <w:r w:rsidR="00F10608">
        <w:rPr>
          <w:rFonts w:ascii="Garamond" w:hAnsi="Garamond"/>
        </w:rPr>
        <w:t xml:space="preserve"> eight legislatively defined goals</w:t>
      </w:r>
      <w:r w:rsidR="000E37AE">
        <w:rPr>
          <w:rFonts w:ascii="Garamond" w:hAnsi="Garamond"/>
        </w:rPr>
        <w:t xml:space="preserve"> included</w:t>
      </w:r>
      <w:r>
        <w:rPr>
          <w:rFonts w:ascii="Garamond" w:hAnsi="Garamond"/>
        </w:rPr>
        <w:t xml:space="preserve"> in the RFA</w:t>
      </w:r>
      <w:r w:rsidR="00F10608">
        <w:rPr>
          <w:rFonts w:ascii="Garamond" w:hAnsi="Garamond"/>
        </w:rPr>
        <w:t>, the program</w:t>
      </w:r>
      <w:r w:rsidR="00677549">
        <w:rPr>
          <w:rFonts w:ascii="Garamond" w:hAnsi="Garamond"/>
        </w:rPr>
        <w:t>s</w:t>
      </w:r>
      <w:r w:rsidR="00F10608">
        <w:rPr>
          <w:rFonts w:ascii="Garamond" w:hAnsi="Garamond"/>
        </w:rPr>
        <w:t xml:space="preserve"> </w:t>
      </w:r>
      <w:r w:rsidR="00677549">
        <w:rPr>
          <w:rFonts w:ascii="Garamond" w:hAnsi="Garamond"/>
        </w:rPr>
        <w:t>focus is</w:t>
      </w:r>
      <w:r w:rsidR="00F10608">
        <w:rPr>
          <w:rFonts w:ascii="Garamond" w:hAnsi="Garamond"/>
        </w:rPr>
        <w:t xml:space="preserve"> on practical research the benefits organic producers.</w:t>
      </w:r>
    </w:p>
    <w:p w14:paraId="021D0C70" w14:textId="77777777" w:rsidR="00F10608" w:rsidRDefault="00F10608" w:rsidP="00807D5B">
      <w:pPr>
        <w:rPr>
          <w:rFonts w:ascii="Garamond" w:hAnsi="Garamond"/>
        </w:rPr>
      </w:pPr>
    </w:p>
    <w:p w14:paraId="3C181A12" w14:textId="225D1613" w:rsidR="000E37AE" w:rsidRDefault="00F10608" w:rsidP="00CE75A6">
      <w:pPr>
        <w:rPr>
          <w:rFonts w:ascii="Garamond" w:hAnsi="Garamond"/>
        </w:rPr>
      </w:pPr>
      <w:r>
        <w:rPr>
          <w:rFonts w:ascii="Garamond" w:hAnsi="Garamond"/>
        </w:rPr>
        <w:t>We do believe</w:t>
      </w:r>
      <w:r w:rsidR="00A16DA4">
        <w:rPr>
          <w:rFonts w:ascii="Garamond" w:hAnsi="Garamond"/>
        </w:rPr>
        <w:t xml:space="preserve"> that expanding the availability of organic curriculum</w:t>
      </w:r>
      <w:r>
        <w:rPr>
          <w:rFonts w:ascii="Garamond" w:hAnsi="Garamond"/>
        </w:rPr>
        <w:t xml:space="preserve"> in higher education is an important goal</w:t>
      </w:r>
      <w:r w:rsidR="000E37AE">
        <w:rPr>
          <w:rFonts w:ascii="Garamond" w:hAnsi="Garamond"/>
        </w:rPr>
        <w:t xml:space="preserve"> given that</w:t>
      </w:r>
      <w:r>
        <w:rPr>
          <w:rFonts w:ascii="Garamond" w:hAnsi="Garamond"/>
        </w:rPr>
        <w:t xml:space="preserve"> organic education</w:t>
      </w:r>
      <w:r w:rsidR="00107E2D">
        <w:rPr>
          <w:rFonts w:ascii="Garamond" w:hAnsi="Garamond"/>
        </w:rPr>
        <w:t xml:space="preserve"> programs</w:t>
      </w:r>
      <w:r w:rsidR="000E37AE">
        <w:rPr>
          <w:rFonts w:ascii="Garamond" w:hAnsi="Garamond"/>
        </w:rPr>
        <w:t xml:space="preserve"> in the land-grant system are</w:t>
      </w:r>
      <w:r>
        <w:rPr>
          <w:rFonts w:ascii="Garamond" w:hAnsi="Garamond"/>
        </w:rPr>
        <w:t xml:space="preserve"> seriously lacking.  </w:t>
      </w:r>
    </w:p>
    <w:p w14:paraId="1F14DC00" w14:textId="77777777" w:rsidR="000E37AE" w:rsidRDefault="000E37AE" w:rsidP="00CE75A6">
      <w:pPr>
        <w:rPr>
          <w:rFonts w:ascii="Garamond" w:hAnsi="Garamond"/>
        </w:rPr>
      </w:pPr>
    </w:p>
    <w:p w14:paraId="5B96ADE1" w14:textId="68249398" w:rsidR="00F10608" w:rsidRDefault="00F10608" w:rsidP="00CE75A6">
      <w:pPr>
        <w:rPr>
          <w:rFonts w:ascii="Garamond" w:hAnsi="Garamond"/>
        </w:rPr>
      </w:pPr>
      <w:r>
        <w:rPr>
          <w:rFonts w:ascii="Garamond" w:hAnsi="Garamond"/>
        </w:rPr>
        <w:t>NSAC</w:t>
      </w:r>
      <w:r w:rsidR="00107E2D">
        <w:rPr>
          <w:rFonts w:ascii="Garamond" w:hAnsi="Garamond"/>
        </w:rPr>
        <w:t xml:space="preserve"> </w:t>
      </w:r>
      <w:r>
        <w:rPr>
          <w:rFonts w:ascii="Garamond" w:hAnsi="Garamond"/>
        </w:rPr>
        <w:t xml:space="preserve">thus supports the retention of priority eight as long as it is expanded to include non-academic organizations that are developing curriculum </w:t>
      </w:r>
      <w:r w:rsidR="000E37AE">
        <w:rPr>
          <w:rFonts w:ascii="Garamond" w:hAnsi="Garamond"/>
        </w:rPr>
        <w:t>for</w:t>
      </w:r>
      <w:r>
        <w:rPr>
          <w:rFonts w:ascii="Garamond" w:hAnsi="Garamond"/>
        </w:rPr>
        <w:t xml:space="preserve"> organic producers. </w:t>
      </w:r>
    </w:p>
    <w:p w14:paraId="412FE023" w14:textId="77777777" w:rsidR="001C3AA3" w:rsidRDefault="001C3AA3" w:rsidP="00CE75A6">
      <w:pPr>
        <w:rPr>
          <w:rFonts w:ascii="Garamond" w:hAnsi="Garamond"/>
        </w:rPr>
      </w:pPr>
    </w:p>
    <w:p w14:paraId="4DD42C65" w14:textId="33E2B096" w:rsidR="007E36FD" w:rsidRPr="0069621C" w:rsidRDefault="00677549" w:rsidP="00CE75A6">
      <w:pPr>
        <w:rPr>
          <w:rFonts w:ascii="Garamond" w:hAnsi="Garamond"/>
          <w:b/>
          <w:bCs/>
          <w:smallCaps/>
          <w:u w:val="single"/>
        </w:rPr>
      </w:pPr>
      <w:r>
        <w:rPr>
          <w:rFonts w:ascii="Garamond" w:hAnsi="Garamond"/>
          <w:b/>
          <w:bCs/>
          <w:smallCaps/>
          <w:u w:val="single"/>
        </w:rPr>
        <w:t>Project Type</w:t>
      </w:r>
      <w:r w:rsidR="0054110A" w:rsidRPr="0069621C">
        <w:rPr>
          <w:rFonts w:ascii="Garamond" w:hAnsi="Garamond"/>
          <w:b/>
          <w:bCs/>
          <w:smallCaps/>
          <w:u w:val="single"/>
        </w:rPr>
        <w:t xml:space="preserve"> Recommendation</w:t>
      </w:r>
      <w:r w:rsidR="007524D1" w:rsidRPr="0069621C">
        <w:rPr>
          <w:rFonts w:ascii="Garamond" w:hAnsi="Garamond"/>
          <w:b/>
          <w:bCs/>
          <w:smallCaps/>
          <w:u w:val="single"/>
        </w:rPr>
        <w:t xml:space="preserve"> (Part IIC)</w:t>
      </w:r>
    </w:p>
    <w:p w14:paraId="1EF6A2AE" w14:textId="77777777" w:rsidR="00076D15" w:rsidRDefault="00076D15" w:rsidP="00CE75A6">
      <w:pPr>
        <w:rPr>
          <w:rFonts w:ascii="Garamond" w:hAnsi="Garamond"/>
        </w:rPr>
      </w:pPr>
    </w:p>
    <w:p w14:paraId="55451727" w14:textId="33332ED8" w:rsidR="00807D5B" w:rsidRDefault="00807D5B" w:rsidP="00807D5B">
      <w:pPr>
        <w:rPr>
          <w:rFonts w:ascii="Garamond" w:hAnsi="Garamond"/>
          <w:b/>
        </w:rPr>
      </w:pPr>
      <w:r>
        <w:rPr>
          <w:rFonts w:ascii="Garamond" w:hAnsi="Garamond"/>
          <w:b/>
        </w:rPr>
        <w:t>1</w:t>
      </w:r>
      <w:r w:rsidRPr="008759AA">
        <w:rPr>
          <w:rFonts w:ascii="Garamond" w:hAnsi="Garamond"/>
          <w:b/>
        </w:rPr>
        <w:t xml:space="preserve">.  Retain the emphasis on </w:t>
      </w:r>
      <w:r w:rsidR="0054110A">
        <w:rPr>
          <w:rFonts w:ascii="Garamond" w:hAnsi="Garamond"/>
          <w:b/>
        </w:rPr>
        <w:t>applications</w:t>
      </w:r>
      <w:r w:rsidRPr="008759AA">
        <w:rPr>
          <w:rFonts w:ascii="Garamond" w:hAnsi="Garamond"/>
          <w:b/>
        </w:rPr>
        <w:t xml:space="preserve"> that</w:t>
      </w:r>
      <w:r w:rsidR="00D7148F">
        <w:rPr>
          <w:rFonts w:ascii="Garamond" w:hAnsi="Garamond"/>
          <w:b/>
        </w:rPr>
        <w:t xml:space="preserve"> include a strong</w:t>
      </w:r>
      <w:r w:rsidRPr="008759AA">
        <w:rPr>
          <w:rFonts w:ascii="Garamond" w:hAnsi="Garamond"/>
          <w:b/>
        </w:rPr>
        <w:t xml:space="preserve"> extension</w:t>
      </w:r>
      <w:r w:rsidR="00D7148F">
        <w:rPr>
          <w:rFonts w:ascii="Garamond" w:hAnsi="Garamond"/>
          <w:b/>
        </w:rPr>
        <w:t xml:space="preserve"> component</w:t>
      </w:r>
      <w:r w:rsidRPr="008759AA">
        <w:rPr>
          <w:rFonts w:ascii="Garamond" w:hAnsi="Garamond"/>
          <w:b/>
        </w:rPr>
        <w:t xml:space="preserve"> to ensure </w:t>
      </w:r>
      <w:r w:rsidR="00D7148F">
        <w:rPr>
          <w:rFonts w:ascii="Garamond" w:hAnsi="Garamond"/>
          <w:b/>
        </w:rPr>
        <w:t xml:space="preserve">that </w:t>
      </w:r>
      <w:r w:rsidRPr="008759AA">
        <w:rPr>
          <w:rFonts w:ascii="Garamond" w:hAnsi="Garamond"/>
          <w:b/>
        </w:rPr>
        <w:t xml:space="preserve">research results are </w:t>
      </w:r>
      <w:r>
        <w:rPr>
          <w:rFonts w:ascii="Garamond" w:hAnsi="Garamond"/>
          <w:b/>
        </w:rPr>
        <w:t>shared</w:t>
      </w:r>
      <w:r w:rsidRPr="008759AA">
        <w:rPr>
          <w:rFonts w:ascii="Garamond" w:hAnsi="Garamond"/>
          <w:b/>
        </w:rPr>
        <w:t xml:space="preserve"> </w:t>
      </w:r>
      <w:r>
        <w:rPr>
          <w:rFonts w:ascii="Garamond" w:hAnsi="Garamond"/>
          <w:b/>
        </w:rPr>
        <w:t>with the organic community</w:t>
      </w:r>
      <w:r w:rsidRPr="008759AA">
        <w:rPr>
          <w:rFonts w:ascii="Garamond" w:hAnsi="Garamond"/>
          <w:b/>
        </w:rPr>
        <w:t>.</w:t>
      </w:r>
      <w:r>
        <w:rPr>
          <w:rFonts w:ascii="Garamond" w:hAnsi="Garamond"/>
          <w:b/>
        </w:rPr>
        <w:t xml:space="preserve"> </w:t>
      </w:r>
    </w:p>
    <w:p w14:paraId="07F28889" w14:textId="77777777" w:rsidR="0054110A" w:rsidRDefault="0054110A" w:rsidP="00807D5B">
      <w:pPr>
        <w:rPr>
          <w:rFonts w:ascii="Garamond" w:hAnsi="Garamond"/>
          <w:b/>
        </w:rPr>
      </w:pPr>
    </w:p>
    <w:p w14:paraId="569614A6" w14:textId="48A5BCAA" w:rsidR="00807D5B" w:rsidRPr="00E42E4C" w:rsidRDefault="00807D5B" w:rsidP="00807D5B">
      <w:pPr>
        <w:rPr>
          <w:rFonts w:ascii="Garamond" w:hAnsi="Garamond"/>
        </w:rPr>
      </w:pPr>
      <w:r>
        <w:rPr>
          <w:rFonts w:ascii="Garamond" w:hAnsi="Garamond"/>
        </w:rPr>
        <w:t xml:space="preserve">Like conference grants, an emphasis on extension </w:t>
      </w:r>
      <w:r w:rsidR="00D7148F">
        <w:rPr>
          <w:rFonts w:ascii="Garamond" w:hAnsi="Garamond"/>
        </w:rPr>
        <w:t>helps to ensure</w:t>
      </w:r>
      <w:r>
        <w:rPr>
          <w:rFonts w:ascii="Garamond" w:hAnsi="Garamond"/>
        </w:rPr>
        <w:t xml:space="preserve"> that research results are not put on a shelf and never shared with the organic community. </w:t>
      </w:r>
      <w:r w:rsidR="00C406D2">
        <w:rPr>
          <w:rFonts w:ascii="Garamond" w:hAnsi="Garamond"/>
        </w:rPr>
        <w:t xml:space="preserve">We </w:t>
      </w:r>
      <w:r w:rsidR="0069621C">
        <w:rPr>
          <w:rFonts w:ascii="Garamond" w:hAnsi="Garamond"/>
        </w:rPr>
        <w:t xml:space="preserve">encourage NIFA to strive for </w:t>
      </w:r>
      <w:r w:rsidR="00D7148F">
        <w:rPr>
          <w:rFonts w:ascii="Garamond" w:hAnsi="Garamond"/>
        </w:rPr>
        <w:t>an overall balance among research, extension, and education</w:t>
      </w:r>
      <w:r w:rsidR="0069621C">
        <w:rPr>
          <w:rFonts w:ascii="Garamond" w:hAnsi="Garamond"/>
        </w:rPr>
        <w:t xml:space="preserve"> projects</w:t>
      </w:r>
      <w:r w:rsidR="00D7148F">
        <w:rPr>
          <w:rFonts w:ascii="Garamond" w:hAnsi="Garamond"/>
        </w:rPr>
        <w:t xml:space="preserve"> so that OREI</w:t>
      </w:r>
      <w:r w:rsidR="00440E7D">
        <w:rPr>
          <w:rFonts w:ascii="Garamond" w:hAnsi="Garamond"/>
        </w:rPr>
        <w:t xml:space="preserve"> effectively supports vital </w:t>
      </w:r>
      <w:r w:rsidR="00D7148F">
        <w:rPr>
          <w:rFonts w:ascii="Garamond" w:hAnsi="Garamond"/>
        </w:rPr>
        <w:t xml:space="preserve">new research and timely delivery of research findings to the organic </w:t>
      </w:r>
      <w:r w:rsidR="00440E7D">
        <w:rPr>
          <w:rFonts w:ascii="Garamond" w:hAnsi="Garamond"/>
        </w:rPr>
        <w:t>farming community in forms that</w:t>
      </w:r>
      <w:r w:rsidR="00D7148F">
        <w:rPr>
          <w:rFonts w:ascii="Garamond" w:hAnsi="Garamond"/>
        </w:rPr>
        <w:t xml:space="preserve"> support practical application.</w:t>
      </w:r>
    </w:p>
    <w:p w14:paraId="33D1D342" w14:textId="77777777" w:rsidR="00807D5B" w:rsidRDefault="00807D5B" w:rsidP="00CE75A6">
      <w:pPr>
        <w:rPr>
          <w:rFonts w:ascii="Garamond" w:hAnsi="Garamond"/>
          <w:b/>
        </w:rPr>
      </w:pPr>
    </w:p>
    <w:p w14:paraId="2E097331" w14:textId="077C4FB1" w:rsidR="00223E66" w:rsidRDefault="00E45012" w:rsidP="00CE75A6">
      <w:pPr>
        <w:rPr>
          <w:rFonts w:ascii="Garamond" w:hAnsi="Garamond"/>
          <w:b/>
        </w:rPr>
      </w:pPr>
      <w:r w:rsidRPr="00A16DA4">
        <w:rPr>
          <w:rFonts w:ascii="Garamond" w:hAnsi="Garamond"/>
          <w:b/>
        </w:rPr>
        <w:t xml:space="preserve">2. </w:t>
      </w:r>
      <w:r w:rsidR="00A16DA4" w:rsidRPr="00A16DA4">
        <w:rPr>
          <w:rFonts w:ascii="Garamond" w:hAnsi="Garamond"/>
          <w:b/>
        </w:rPr>
        <w:t>Curriculum</w:t>
      </w:r>
      <w:r w:rsidRPr="00A16DA4">
        <w:rPr>
          <w:rFonts w:ascii="Garamond" w:hAnsi="Garamond"/>
          <w:b/>
        </w:rPr>
        <w:t xml:space="preserve"> </w:t>
      </w:r>
      <w:r w:rsidR="00A16DA4" w:rsidRPr="00A16DA4">
        <w:rPr>
          <w:rFonts w:ascii="Garamond" w:hAnsi="Garamond"/>
          <w:b/>
        </w:rPr>
        <w:t>Development</w:t>
      </w:r>
      <w:r w:rsidRPr="00A16DA4">
        <w:rPr>
          <w:rFonts w:ascii="Garamond" w:hAnsi="Garamond"/>
          <w:b/>
        </w:rPr>
        <w:t xml:space="preserve"> Proposals</w:t>
      </w:r>
      <w:r w:rsidR="00F10608">
        <w:rPr>
          <w:rFonts w:ascii="Garamond" w:hAnsi="Garamond"/>
          <w:b/>
        </w:rPr>
        <w:t xml:space="preserve"> (Part IIC (4))</w:t>
      </w:r>
    </w:p>
    <w:p w14:paraId="3B6AB3B1" w14:textId="77777777" w:rsidR="00F10608" w:rsidRDefault="00F10608" w:rsidP="00CE75A6">
      <w:pPr>
        <w:rPr>
          <w:rFonts w:ascii="Garamond" w:hAnsi="Garamond"/>
          <w:b/>
        </w:rPr>
      </w:pPr>
    </w:p>
    <w:p w14:paraId="4709EA3B" w14:textId="66663898" w:rsidR="00F10608" w:rsidRPr="00A16DA4" w:rsidRDefault="00F10608" w:rsidP="00CE75A6">
      <w:pPr>
        <w:rPr>
          <w:rFonts w:ascii="Garamond" w:hAnsi="Garamond"/>
          <w:b/>
        </w:rPr>
      </w:pPr>
      <w:r>
        <w:rPr>
          <w:rFonts w:ascii="Garamond" w:hAnsi="Garamond"/>
          <w:b/>
        </w:rPr>
        <w:t xml:space="preserve">See </w:t>
      </w:r>
      <w:r w:rsidR="00245F1C">
        <w:rPr>
          <w:rFonts w:ascii="Garamond" w:hAnsi="Garamond"/>
          <w:b/>
        </w:rPr>
        <w:t>recommendation 4</w:t>
      </w:r>
      <w:r w:rsidR="00D13586">
        <w:rPr>
          <w:rFonts w:ascii="Garamond" w:hAnsi="Garamond"/>
          <w:b/>
        </w:rPr>
        <w:t xml:space="preserve"> above.</w:t>
      </w:r>
    </w:p>
    <w:p w14:paraId="566BA797" w14:textId="77777777" w:rsidR="0069621C" w:rsidRDefault="0069621C" w:rsidP="00CE75A6">
      <w:pPr>
        <w:rPr>
          <w:rFonts w:ascii="Garamond" w:hAnsi="Garamond"/>
          <w:b/>
          <w:bCs/>
          <w:smallCaps/>
          <w:u w:val="single"/>
        </w:rPr>
      </w:pPr>
    </w:p>
    <w:p w14:paraId="7B0933A1" w14:textId="77777777" w:rsidR="0069621C" w:rsidRDefault="0069621C" w:rsidP="00CE75A6">
      <w:pPr>
        <w:rPr>
          <w:rFonts w:ascii="Garamond" w:hAnsi="Garamond"/>
          <w:b/>
          <w:bCs/>
          <w:smallCaps/>
          <w:u w:val="single"/>
        </w:rPr>
      </w:pPr>
    </w:p>
    <w:p w14:paraId="1F2E79C0" w14:textId="007401BB" w:rsidR="00076D15" w:rsidRPr="005D1C9E" w:rsidRDefault="007524D1" w:rsidP="00CE75A6">
      <w:pPr>
        <w:rPr>
          <w:rFonts w:ascii="Garamond" w:hAnsi="Garamond"/>
          <w:b/>
          <w:bCs/>
          <w:smallCaps/>
          <w:u w:val="single"/>
        </w:rPr>
      </w:pPr>
      <w:r w:rsidRPr="005D1C9E">
        <w:rPr>
          <w:rFonts w:ascii="Garamond" w:hAnsi="Garamond"/>
          <w:b/>
          <w:bCs/>
          <w:smallCaps/>
          <w:u w:val="single"/>
        </w:rPr>
        <w:t>Cost Sharing or Matching</w:t>
      </w:r>
      <w:r w:rsidR="0054110A" w:rsidRPr="005D1C9E">
        <w:rPr>
          <w:rFonts w:ascii="Garamond" w:hAnsi="Garamond"/>
          <w:b/>
          <w:bCs/>
          <w:smallCaps/>
          <w:u w:val="single"/>
        </w:rPr>
        <w:t xml:space="preserve"> Recommendations</w:t>
      </w:r>
      <w:r w:rsidRPr="005D1C9E">
        <w:rPr>
          <w:rFonts w:ascii="Garamond" w:hAnsi="Garamond"/>
          <w:b/>
          <w:bCs/>
          <w:smallCaps/>
          <w:u w:val="single"/>
        </w:rPr>
        <w:t xml:space="preserve"> (Part IIIB)</w:t>
      </w:r>
    </w:p>
    <w:p w14:paraId="4C73DEA0" w14:textId="77777777" w:rsidR="00380DF0" w:rsidRDefault="00380DF0" w:rsidP="00CE75A6">
      <w:pPr>
        <w:rPr>
          <w:rFonts w:ascii="Garamond" w:hAnsi="Garamond"/>
          <w:b/>
          <w:u w:val="single"/>
        </w:rPr>
      </w:pPr>
    </w:p>
    <w:p w14:paraId="3F7D1A73" w14:textId="77777777" w:rsidR="00380DF0" w:rsidRDefault="00380DF0" w:rsidP="00CE75A6">
      <w:pPr>
        <w:rPr>
          <w:rFonts w:ascii="Garamond" w:hAnsi="Garamond"/>
          <w:b/>
          <w:u w:val="single"/>
        </w:rPr>
      </w:pPr>
    </w:p>
    <w:p w14:paraId="3D6C8093" w14:textId="4E943BA3" w:rsidR="00380DF0" w:rsidRDefault="00380DF0" w:rsidP="00CE75A6">
      <w:pPr>
        <w:rPr>
          <w:rFonts w:ascii="Garamond" w:hAnsi="Garamond"/>
          <w:b/>
        </w:rPr>
      </w:pPr>
      <w:r w:rsidRPr="003E7102">
        <w:rPr>
          <w:rFonts w:ascii="Garamond" w:hAnsi="Garamond"/>
          <w:b/>
        </w:rPr>
        <w:t xml:space="preserve">1. </w:t>
      </w:r>
      <w:r w:rsidR="008759AA" w:rsidRPr="003E7102">
        <w:rPr>
          <w:rFonts w:ascii="Garamond" w:hAnsi="Garamond"/>
          <w:b/>
        </w:rPr>
        <w:t xml:space="preserve"> </w:t>
      </w:r>
      <w:r w:rsidR="005976DB">
        <w:rPr>
          <w:rFonts w:ascii="Garamond" w:hAnsi="Garamond"/>
          <w:b/>
        </w:rPr>
        <w:t>Continue to a</w:t>
      </w:r>
      <w:r w:rsidR="00104B25">
        <w:rPr>
          <w:rFonts w:ascii="Garamond" w:hAnsi="Garamond"/>
          <w:b/>
        </w:rPr>
        <w:t>llow a project to b</w:t>
      </w:r>
      <w:r w:rsidR="005A6C06">
        <w:rPr>
          <w:rFonts w:ascii="Garamond" w:hAnsi="Garamond"/>
          <w:b/>
        </w:rPr>
        <w:t>e exempt from the matching funds</w:t>
      </w:r>
      <w:r w:rsidR="00104B25">
        <w:rPr>
          <w:rFonts w:ascii="Garamond" w:hAnsi="Garamond"/>
          <w:b/>
        </w:rPr>
        <w:t xml:space="preserve"> requirement as long as an exempt organization is a collaborator or partner on the project.</w:t>
      </w:r>
    </w:p>
    <w:p w14:paraId="4E18304B" w14:textId="77777777" w:rsidR="005976DB" w:rsidRDefault="005976DB" w:rsidP="00CE75A6">
      <w:pPr>
        <w:rPr>
          <w:rFonts w:ascii="Garamond" w:hAnsi="Garamond"/>
          <w:b/>
        </w:rPr>
      </w:pPr>
    </w:p>
    <w:p w14:paraId="032C62B8" w14:textId="64FCB7BD" w:rsidR="005976DB" w:rsidRPr="00380DF0" w:rsidRDefault="005976DB" w:rsidP="005976DB">
      <w:pPr>
        <w:rPr>
          <w:rFonts w:ascii="Garamond" w:hAnsi="Garamond"/>
        </w:rPr>
      </w:pPr>
      <w:r>
        <w:rPr>
          <w:rFonts w:ascii="Garamond" w:hAnsi="Garamond"/>
        </w:rPr>
        <w:t>In general, w</w:t>
      </w:r>
      <w:r w:rsidR="00DA784A">
        <w:rPr>
          <w:rFonts w:ascii="Garamond" w:hAnsi="Garamond"/>
        </w:rPr>
        <w:t>e are concerned about how the 2014 Farm Bill’s matching funds requirement</w:t>
      </w:r>
      <w:r>
        <w:rPr>
          <w:rFonts w:ascii="Garamond" w:hAnsi="Garamond"/>
        </w:rPr>
        <w:t xml:space="preserve"> impact</w:t>
      </w:r>
      <w:r w:rsidR="00DA784A">
        <w:rPr>
          <w:rFonts w:ascii="Garamond" w:hAnsi="Garamond"/>
        </w:rPr>
        <w:t>s</w:t>
      </w:r>
      <w:r>
        <w:rPr>
          <w:rFonts w:ascii="Garamond" w:hAnsi="Garamond"/>
        </w:rPr>
        <w:t xml:space="preserve"> non-exempt organizations that have previously been able to apply for a waiver through the OREI program.  </w:t>
      </w:r>
    </w:p>
    <w:p w14:paraId="31EA7AC3" w14:textId="77777777" w:rsidR="00974AE8" w:rsidRDefault="00974AE8" w:rsidP="00CE75A6">
      <w:pPr>
        <w:rPr>
          <w:rFonts w:ascii="Garamond" w:hAnsi="Garamond"/>
        </w:rPr>
      </w:pPr>
    </w:p>
    <w:p w14:paraId="0B744969" w14:textId="52D59C2D" w:rsidR="00974AE8" w:rsidRDefault="0070063B" w:rsidP="00CE75A6">
      <w:pPr>
        <w:rPr>
          <w:rFonts w:ascii="Garamond" w:hAnsi="Garamond"/>
        </w:rPr>
      </w:pPr>
      <w:r>
        <w:rPr>
          <w:rFonts w:ascii="Garamond" w:hAnsi="Garamond"/>
        </w:rPr>
        <w:t>We</w:t>
      </w:r>
      <w:r w:rsidR="00974AE8">
        <w:rPr>
          <w:rFonts w:ascii="Garamond" w:hAnsi="Garamond"/>
        </w:rPr>
        <w:t xml:space="preserve"> support the language included in the</w:t>
      </w:r>
      <w:r w:rsidR="007E133A">
        <w:rPr>
          <w:rFonts w:ascii="Garamond" w:hAnsi="Garamond"/>
        </w:rPr>
        <w:t xml:space="preserve"> FY201</w:t>
      </w:r>
      <w:r w:rsidR="005976DB">
        <w:rPr>
          <w:rFonts w:ascii="Garamond" w:hAnsi="Garamond"/>
        </w:rPr>
        <w:t>5 RFA</w:t>
      </w:r>
      <w:r w:rsidR="00974AE8">
        <w:rPr>
          <w:rFonts w:ascii="Garamond" w:hAnsi="Garamond"/>
        </w:rPr>
        <w:t xml:space="preserve"> </w:t>
      </w:r>
      <w:r w:rsidR="00104B25">
        <w:rPr>
          <w:rFonts w:ascii="Garamond" w:hAnsi="Garamond"/>
        </w:rPr>
        <w:t>that exempts a project from</w:t>
      </w:r>
      <w:r w:rsidR="005A6C06">
        <w:rPr>
          <w:rFonts w:ascii="Garamond" w:hAnsi="Garamond"/>
        </w:rPr>
        <w:t xml:space="preserve"> the</w:t>
      </w:r>
      <w:r w:rsidR="00104B25">
        <w:rPr>
          <w:rFonts w:ascii="Garamond" w:hAnsi="Garamond"/>
        </w:rPr>
        <w:t xml:space="preserve"> matching</w:t>
      </w:r>
      <w:r>
        <w:rPr>
          <w:rFonts w:ascii="Garamond" w:hAnsi="Garamond"/>
        </w:rPr>
        <w:t xml:space="preserve"> funds</w:t>
      </w:r>
      <w:r w:rsidR="00104B25">
        <w:rPr>
          <w:rFonts w:ascii="Garamond" w:hAnsi="Garamond"/>
        </w:rPr>
        <w:t xml:space="preserve"> requirement </w:t>
      </w:r>
      <w:r w:rsidR="00347659">
        <w:rPr>
          <w:rFonts w:ascii="Garamond" w:hAnsi="Garamond"/>
        </w:rPr>
        <w:t>if a</w:t>
      </w:r>
      <w:r w:rsidR="00104B25">
        <w:rPr>
          <w:rFonts w:ascii="Garamond" w:hAnsi="Garamond"/>
        </w:rPr>
        <w:t xml:space="preserve">n exempt entity has </w:t>
      </w:r>
      <w:r w:rsidR="00677549">
        <w:rPr>
          <w:rFonts w:ascii="Garamond" w:hAnsi="Garamond"/>
        </w:rPr>
        <w:t>substantial</w:t>
      </w:r>
      <w:r w:rsidR="007E133A">
        <w:rPr>
          <w:rFonts w:ascii="Garamond" w:hAnsi="Garamond"/>
        </w:rPr>
        <w:t xml:space="preserve"> involvement in a project</w:t>
      </w:r>
      <w:r w:rsidR="005A6C06">
        <w:rPr>
          <w:rFonts w:ascii="Garamond" w:hAnsi="Garamond"/>
        </w:rPr>
        <w:t>,</w:t>
      </w:r>
      <w:r w:rsidR="007E133A">
        <w:rPr>
          <w:rFonts w:ascii="Garamond" w:hAnsi="Garamond"/>
        </w:rPr>
        <w:t xml:space="preserve"> regardless of whether the exempt organization is the lead entity or not. </w:t>
      </w:r>
    </w:p>
    <w:p w14:paraId="2749012B" w14:textId="77777777" w:rsidR="00380DF0" w:rsidRDefault="00380DF0" w:rsidP="00CE75A6">
      <w:pPr>
        <w:rPr>
          <w:rFonts w:ascii="Garamond" w:hAnsi="Garamond"/>
        </w:rPr>
      </w:pPr>
    </w:p>
    <w:p w14:paraId="2DAC0BEA" w14:textId="24E86801" w:rsidR="00104B25" w:rsidRDefault="00104B25" w:rsidP="00CE75A6">
      <w:pPr>
        <w:rPr>
          <w:rFonts w:ascii="Garamond" w:hAnsi="Garamond"/>
        </w:rPr>
      </w:pPr>
      <w:r>
        <w:rPr>
          <w:rFonts w:ascii="Garamond" w:hAnsi="Garamond"/>
        </w:rPr>
        <w:t>Allowing the exemption to apply in this manner is critical to ensuring that NGOs that work closely with the organic community are still able</w:t>
      </w:r>
      <w:r w:rsidR="005A6C06">
        <w:rPr>
          <w:rFonts w:ascii="Garamond" w:hAnsi="Garamond"/>
        </w:rPr>
        <w:t xml:space="preserve"> to lead a project</w:t>
      </w:r>
      <w:r w:rsidR="0070063B">
        <w:rPr>
          <w:rFonts w:ascii="Garamond" w:hAnsi="Garamond"/>
        </w:rPr>
        <w:t xml:space="preserve"> under the OREI grant </w:t>
      </w:r>
      <w:r w:rsidR="008A647B">
        <w:rPr>
          <w:rFonts w:ascii="Garamond" w:hAnsi="Garamond"/>
        </w:rPr>
        <w:t>program,</w:t>
      </w:r>
      <w:r w:rsidR="0070063B">
        <w:rPr>
          <w:rFonts w:ascii="Garamond" w:hAnsi="Garamond"/>
        </w:rPr>
        <w:t xml:space="preserve"> as they have historically been su</w:t>
      </w:r>
      <w:r w:rsidR="00213A93">
        <w:rPr>
          <w:rFonts w:ascii="Garamond" w:hAnsi="Garamond"/>
        </w:rPr>
        <w:t>ccessful in doing so.</w:t>
      </w:r>
      <w:r>
        <w:rPr>
          <w:rFonts w:ascii="Garamond" w:hAnsi="Garamond"/>
        </w:rPr>
        <w:t xml:space="preserve"> </w:t>
      </w:r>
    </w:p>
    <w:p w14:paraId="48B586E6" w14:textId="77777777" w:rsidR="00380DF0" w:rsidRDefault="00380DF0" w:rsidP="00CE75A6">
      <w:pPr>
        <w:rPr>
          <w:rFonts w:ascii="Garamond" w:hAnsi="Garamond"/>
        </w:rPr>
      </w:pPr>
    </w:p>
    <w:p w14:paraId="18393B2C" w14:textId="67D541DD" w:rsidR="00380DF0" w:rsidRPr="00974AE8" w:rsidRDefault="00213A93" w:rsidP="00CE75A6">
      <w:pPr>
        <w:rPr>
          <w:rFonts w:ascii="Garamond" w:hAnsi="Garamond"/>
          <w:b/>
        </w:rPr>
      </w:pPr>
      <w:r>
        <w:rPr>
          <w:rFonts w:ascii="Garamond" w:hAnsi="Garamond"/>
          <w:b/>
        </w:rPr>
        <w:t>2</w:t>
      </w:r>
      <w:r w:rsidR="00380DF0" w:rsidRPr="00974AE8">
        <w:rPr>
          <w:rFonts w:ascii="Garamond" w:hAnsi="Garamond"/>
          <w:b/>
        </w:rPr>
        <w:t>.</w:t>
      </w:r>
      <w:r w:rsidR="008759AA" w:rsidRPr="00974AE8">
        <w:rPr>
          <w:rFonts w:ascii="Garamond" w:hAnsi="Garamond"/>
          <w:b/>
        </w:rPr>
        <w:t xml:space="preserve">  Do not alter the matching contri</w:t>
      </w:r>
      <w:r w:rsidR="00104B25">
        <w:rPr>
          <w:rFonts w:ascii="Garamond" w:hAnsi="Garamond"/>
          <w:b/>
        </w:rPr>
        <w:t>bution requirement</w:t>
      </w:r>
      <w:r w:rsidR="00677549">
        <w:rPr>
          <w:rFonts w:ascii="Garamond" w:hAnsi="Garamond"/>
          <w:b/>
        </w:rPr>
        <w:t>s</w:t>
      </w:r>
      <w:r w:rsidR="00DE798E">
        <w:rPr>
          <w:rFonts w:ascii="Garamond" w:hAnsi="Garamond"/>
          <w:b/>
        </w:rPr>
        <w:t xml:space="preserve">, and continue </w:t>
      </w:r>
      <w:r w:rsidR="008759AA" w:rsidRPr="00974AE8">
        <w:rPr>
          <w:rFonts w:ascii="Garamond" w:hAnsi="Garamond"/>
          <w:b/>
        </w:rPr>
        <w:t>to allow matching funds to be provided</w:t>
      </w:r>
      <w:r w:rsidR="005A6C06">
        <w:rPr>
          <w:rFonts w:ascii="Garamond" w:hAnsi="Garamond"/>
          <w:b/>
        </w:rPr>
        <w:t xml:space="preserve"> through</w:t>
      </w:r>
      <w:r w:rsidR="00104B25">
        <w:rPr>
          <w:rFonts w:ascii="Garamond" w:hAnsi="Garamond"/>
          <w:b/>
        </w:rPr>
        <w:t xml:space="preserve"> any combination of</w:t>
      </w:r>
      <w:r w:rsidR="008759AA" w:rsidRPr="00974AE8">
        <w:rPr>
          <w:rFonts w:ascii="Garamond" w:hAnsi="Garamond"/>
          <w:b/>
        </w:rPr>
        <w:t xml:space="preserve"> in-kind or </w:t>
      </w:r>
      <w:r w:rsidR="00104B25">
        <w:rPr>
          <w:rFonts w:ascii="Garamond" w:hAnsi="Garamond"/>
          <w:b/>
        </w:rPr>
        <w:t>direct</w:t>
      </w:r>
      <w:r w:rsidR="008759AA" w:rsidRPr="00974AE8">
        <w:rPr>
          <w:rFonts w:ascii="Garamond" w:hAnsi="Garamond"/>
          <w:b/>
        </w:rPr>
        <w:t xml:space="preserve"> funding.</w:t>
      </w:r>
    </w:p>
    <w:p w14:paraId="32680C79" w14:textId="77777777" w:rsidR="00974AE8" w:rsidRDefault="00974AE8" w:rsidP="00CE75A6">
      <w:pPr>
        <w:rPr>
          <w:rFonts w:ascii="Garamond" w:hAnsi="Garamond"/>
        </w:rPr>
      </w:pPr>
    </w:p>
    <w:p w14:paraId="5CB343F0" w14:textId="6F452319" w:rsidR="00974AE8" w:rsidRDefault="00974AE8" w:rsidP="00CE75A6">
      <w:pPr>
        <w:rPr>
          <w:rFonts w:ascii="Garamond" w:hAnsi="Garamond"/>
        </w:rPr>
      </w:pPr>
      <w:r>
        <w:rPr>
          <w:rFonts w:ascii="Garamond" w:hAnsi="Garamond"/>
        </w:rPr>
        <w:t>The 2014 Farm bill require</w:t>
      </w:r>
      <w:r w:rsidR="005976DB">
        <w:rPr>
          <w:rFonts w:ascii="Garamond" w:hAnsi="Garamond"/>
        </w:rPr>
        <w:t>d</w:t>
      </w:r>
      <w:r>
        <w:rPr>
          <w:rFonts w:ascii="Garamond" w:hAnsi="Garamond"/>
        </w:rPr>
        <w:t xml:space="preserve"> that</w:t>
      </w:r>
      <w:r w:rsidR="00104B25">
        <w:rPr>
          <w:rFonts w:ascii="Garamond" w:hAnsi="Garamond"/>
        </w:rPr>
        <w:t xml:space="preserve"> the</w:t>
      </w:r>
      <w:r>
        <w:rPr>
          <w:rFonts w:ascii="Garamond" w:hAnsi="Garamond"/>
        </w:rPr>
        <w:t xml:space="preserve"> match requirement be fulfilled by “funds, in-kind contributions, or a combination of both.”</w:t>
      </w:r>
      <w:r w:rsidR="0097430D">
        <w:rPr>
          <w:rStyle w:val="FootnoteReference"/>
          <w:rFonts w:ascii="Garamond" w:hAnsi="Garamond"/>
        </w:rPr>
        <w:footnoteReference w:id="1"/>
      </w:r>
      <w:r>
        <w:rPr>
          <w:rFonts w:ascii="Garamond" w:hAnsi="Garamond"/>
        </w:rPr>
        <w:t xml:space="preserve"> </w:t>
      </w:r>
      <w:r w:rsidR="00104B25">
        <w:rPr>
          <w:rFonts w:ascii="Garamond" w:hAnsi="Garamond"/>
        </w:rPr>
        <w:t xml:space="preserve">We </w:t>
      </w:r>
      <w:r>
        <w:rPr>
          <w:rFonts w:ascii="Garamond" w:hAnsi="Garamond"/>
        </w:rPr>
        <w:t>beli</w:t>
      </w:r>
      <w:r w:rsidR="00104B25">
        <w:rPr>
          <w:rFonts w:ascii="Garamond" w:hAnsi="Garamond"/>
        </w:rPr>
        <w:t>eve that this language does</w:t>
      </w:r>
      <w:r>
        <w:rPr>
          <w:rFonts w:ascii="Garamond" w:hAnsi="Garamond"/>
        </w:rPr>
        <w:t xml:space="preserve"> not restrict the ability of the grantee to provide the match in </w:t>
      </w:r>
      <w:r w:rsidRPr="00974AE8">
        <w:rPr>
          <w:rFonts w:ascii="Garamond" w:hAnsi="Garamond"/>
          <w:u w:val="single"/>
        </w:rPr>
        <w:t>any</w:t>
      </w:r>
      <w:r>
        <w:rPr>
          <w:rFonts w:ascii="Garamond" w:hAnsi="Garamond"/>
        </w:rPr>
        <w:t xml:space="preserve"> combination</w:t>
      </w:r>
      <w:r w:rsidR="00DE798E">
        <w:rPr>
          <w:rFonts w:ascii="Garamond" w:hAnsi="Garamond"/>
        </w:rPr>
        <w:t xml:space="preserve"> of</w:t>
      </w:r>
      <w:r>
        <w:rPr>
          <w:rFonts w:ascii="Garamond" w:hAnsi="Garamond"/>
        </w:rPr>
        <w:t xml:space="preserve"> </w:t>
      </w:r>
      <w:r w:rsidR="00375F11">
        <w:rPr>
          <w:rFonts w:ascii="Garamond" w:hAnsi="Garamond"/>
        </w:rPr>
        <w:t>funds or in-kind contributions</w:t>
      </w:r>
      <w:r>
        <w:rPr>
          <w:rFonts w:ascii="Garamond" w:hAnsi="Garamond"/>
        </w:rPr>
        <w:t>.</w:t>
      </w:r>
      <w:r w:rsidR="00104B25">
        <w:rPr>
          <w:rFonts w:ascii="Garamond" w:hAnsi="Garamond"/>
        </w:rPr>
        <w:t xml:space="preserve">  The status quo should be maintained as to the nature of the matching contribution.</w:t>
      </w:r>
    </w:p>
    <w:p w14:paraId="6EDC53C3" w14:textId="77777777" w:rsidR="008759AA" w:rsidRDefault="008759AA" w:rsidP="00CE75A6">
      <w:pPr>
        <w:rPr>
          <w:rFonts w:ascii="Garamond" w:hAnsi="Garamond"/>
        </w:rPr>
      </w:pPr>
    </w:p>
    <w:p w14:paraId="5DA10904" w14:textId="47ED90B7" w:rsidR="008759AA" w:rsidRPr="00974AE8" w:rsidRDefault="00213A93" w:rsidP="00CE75A6">
      <w:pPr>
        <w:rPr>
          <w:rFonts w:ascii="Garamond" w:hAnsi="Garamond"/>
          <w:b/>
        </w:rPr>
      </w:pPr>
      <w:r>
        <w:rPr>
          <w:rFonts w:ascii="Garamond" w:hAnsi="Garamond"/>
          <w:b/>
        </w:rPr>
        <w:t>3</w:t>
      </w:r>
      <w:r w:rsidR="008759AA" w:rsidRPr="00974AE8">
        <w:rPr>
          <w:rFonts w:ascii="Garamond" w:hAnsi="Garamond"/>
          <w:b/>
        </w:rPr>
        <w:t xml:space="preserve">.  </w:t>
      </w:r>
      <w:r w:rsidR="00B6551D" w:rsidRPr="00974AE8">
        <w:rPr>
          <w:rFonts w:ascii="Garamond" w:hAnsi="Garamond"/>
          <w:b/>
        </w:rPr>
        <w:t>Ensure that the</w:t>
      </w:r>
      <w:r w:rsidR="00104B25">
        <w:rPr>
          <w:rFonts w:ascii="Garamond" w:hAnsi="Garamond"/>
          <w:b/>
        </w:rPr>
        <w:t xml:space="preserve"> requirements for a</w:t>
      </w:r>
      <w:r w:rsidR="00B6551D" w:rsidRPr="00974AE8">
        <w:rPr>
          <w:rFonts w:ascii="Garamond" w:hAnsi="Garamond"/>
          <w:b/>
        </w:rPr>
        <w:t xml:space="preserve"> </w:t>
      </w:r>
      <w:r w:rsidR="00974AE8">
        <w:rPr>
          <w:rFonts w:ascii="Garamond" w:hAnsi="Garamond"/>
          <w:b/>
        </w:rPr>
        <w:t xml:space="preserve">matching funds </w:t>
      </w:r>
      <w:r w:rsidR="00B6551D" w:rsidRPr="00974AE8">
        <w:rPr>
          <w:rFonts w:ascii="Garamond" w:hAnsi="Garamond"/>
          <w:b/>
        </w:rPr>
        <w:t xml:space="preserve">waiver do not overly disadvantage non-exempt organizations </w:t>
      </w:r>
      <w:r w:rsidR="00974AE8" w:rsidRPr="00974AE8">
        <w:rPr>
          <w:rFonts w:ascii="Garamond" w:hAnsi="Garamond"/>
          <w:b/>
        </w:rPr>
        <w:t>applying for OREI grants.</w:t>
      </w:r>
      <w:r w:rsidR="00B6551D" w:rsidRPr="00974AE8">
        <w:rPr>
          <w:rFonts w:ascii="Garamond" w:hAnsi="Garamond"/>
          <w:b/>
        </w:rPr>
        <w:t xml:space="preserve"> </w:t>
      </w:r>
    </w:p>
    <w:p w14:paraId="2F5DDDDC" w14:textId="77777777" w:rsidR="00380DF0" w:rsidRDefault="00380DF0" w:rsidP="00CE75A6">
      <w:pPr>
        <w:rPr>
          <w:rFonts w:ascii="Garamond" w:hAnsi="Garamond"/>
        </w:rPr>
      </w:pPr>
    </w:p>
    <w:p w14:paraId="04607F1B" w14:textId="4E21AD6B" w:rsidR="005976DB" w:rsidRDefault="005976DB" w:rsidP="00CE75A6">
      <w:pPr>
        <w:rPr>
          <w:rFonts w:ascii="Garamond" w:hAnsi="Garamond"/>
        </w:rPr>
      </w:pPr>
      <w:r>
        <w:rPr>
          <w:rFonts w:ascii="Garamond" w:hAnsi="Garamond"/>
        </w:rPr>
        <w:t xml:space="preserve">While the rules </w:t>
      </w:r>
      <w:r w:rsidR="00800759">
        <w:rPr>
          <w:rFonts w:ascii="Garamond" w:hAnsi="Garamond"/>
        </w:rPr>
        <w:t>implementing</w:t>
      </w:r>
      <w:r>
        <w:rPr>
          <w:rFonts w:ascii="Garamond" w:hAnsi="Garamond"/>
        </w:rPr>
        <w:t xml:space="preserve"> the matching requirement included in the 2014 Farm bill do allow a non-exempt organization to be </w:t>
      </w:r>
      <w:r w:rsidR="00800759">
        <w:rPr>
          <w:rFonts w:ascii="Garamond" w:hAnsi="Garamond"/>
        </w:rPr>
        <w:t>exempt from the matching requirement when an exempt organization is substantially part of the project, this</w:t>
      </w:r>
      <w:r w:rsidR="00DA784A">
        <w:rPr>
          <w:rFonts w:ascii="Garamond" w:hAnsi="Garamond"/>
        </w:rPr>
        <w:t xml:space="preserve"> option</w:t>
      </w:r>
      <w:r w:rsidR="00800759">
        <w:rPr>
          <w:rFonts w:ascii="Garamond" w:hAnsi="Garamond"/>
        </w:rPr>
        <w:t xml:space="preserve"> may not always be achievable for an NGO.</w:t>
      </w:r>
    </w:p>
    <w:p w14:paraId="04F8F120" w14:textId="77777777" w:rsidR="005976DB" w:rsidRDefault="005976DB" w:rsidP="00CE75A6">
      <w:pPr>
        <w:rPr>
          <w:rFonts w:ascii="Garamond" w:hAnsi="Garamond"/>
        </w:rPr>
      </w:pPr>
    </w:p>
    <w:p w14:paraId="5A36B9B2" w14:textId="046BF531" w:rsidR="00800759" w:rsidRDefault="00677549" w:rsidP="00CE75A6">
      <w:pPr>
        <w:rPr>
          <w:rFonts w:ascii="Garamond" w:hAnsi="Garamond"/>
        </w:rPr>
      </w:pPr>
      <w:r>
        <w:rPr>
          <w:rFonts w:ascii="Garamond" w:hAnsi="Garamond"/>
        </w:rPr>
        <w:t>A</w:t>
      </w:r>
      <w:r w:rsidR="00800759">
        <w:rPr>
          <w:rFonts w:ascii="Garamond" w:hAnsi="Garamond"/>
        </w:rPr>
        <w:t xml:space="preserve"> second</w:t>
      </w:r>
      <w:r w:rsidR="00DA784A">
        <w:rPr>
          <w:rFonts w:ascii="Garamond" w:hAnsi="Garamond"/>
        </w:rPr>
        <w:t xml:space="preserve"> avenue to an exemption included in the</w:t>
      </w:r>
      <w:r w:rsidR="00800759">
        <w:rPr>
          <w:rFonts w:ascii="Garamond" w:hAnsi="Garamond"/>
        </w:rPr>
        <w:t xml:space="preserve"> </w:t>
      </w:r>
      <w:r w:rsidR="009D67C6">
        <w:rPr>
          <w:rFonts w:ascii="Garamond" w:hAnsi="Garamond"/>
        </w:rPr>
        <w:t xml:space="preserve">2014 Farm Bill </w:t>
      </w:r>
      <w:r w:rsidR="00CA7E63">
        <w:rPr>
          <w:rFonts w:ascii="Garamond" w:hAnsi="Garamond"/>
        </w:rPr>
        <w:t xml:space="preserve">allows projects to seek </w:t>
      </w:r>
      <w:r w:rsidR="009D67C6">
        <w:rPr>
          <w:rFonts w:ascii="Garamond" w:hAnsi="Garamond"/>
        </w:rPr>
        <w:t>a waiver</w:t>
      </w:r>
      <w:r w:rsidR="00DA784A">
        <w:rPr>
          <w:rFonts w:ascii="Garamond" w:hAnsi="Garamond"/>
        </w:rPr>
        <w:t xml:space="preserve"> based on the project being </w:t>
      </w:r>
      <w:r w:rsidR="009D67C6">
        <w:rPr>
          <w:rFonts w:ascii="Garamond" w:hAnsi="Garamond"/>
        </w:rPr>
        <w:t>consistent with the priorities established by the National Agriculture Research, Extension, Education, and</w:t>
      </w:r>
      <w:r w:rsidR="00CA7E63">
        <w:rPr>
          <w:rFonts w:ascii="Garamond" w:hAnsi="Garamond"/>
        </w:rPr>
        <w:t xml:space="preserve"> Economics Advisory Board (NAREEEAB).  The RFA identifies NAREEEAB’s 2014 Research, Education, and Economic Action Plan as the controlling document, which we support.</w:t>
      </w:r>
    </w:p>
    <w:p w14:paraId="0CA0A476" w14:textId="77777777" w:rsidR="009D67C6" w:rsidRDefault="009D67C6" w:rsidP="00CE75A6">
      <w:pPr>
        <w:rPr>
          <w:rFonts w:ascii="Garamond" w:hAnsi="Garamond"/>
        </w:rPr>
      </w:pPr>
    </w:p>
    <w:p w14:paraId="251B9283" w14:textId="59DB3D7F" w:rsidR="00974AE8" w:rsidRPr="00380DF0" w:rsidRDefault="00A01362" w:rsidP="00CE75A6">
      <w:pPr>
        <w:rPr>
          <w:rFonts w:ascii="Garamond" w:hAnsi="Garamond"/>
        </w:rPr>
      </w:pPr>
      <w:r>
        <w:rPr>
          <w:rFonts w:ascii="Garamond" w:hAnsi="Garamond"/>
        </w:rPr>
        <w:t xml:space="preserve">It is our hope that within the confines of this requirement USDA seeks to ensure the ability of non-exempt organizations to </w:t>
      </w:r>
      <w:r w:rsidR="00375F11">
        <w:rPr>
          <w:rFonts w:ascii="Garamond" w:hAnsi="Garamond"/>
        </w:rPr>
        <w:t xml:space="preserve">continue to apply and receive OREI grants. </w:t>
      </w:r>
    </w:p>
    <w:p w14:paraId="5FB7FDB3" w14:textId="77777777" w:rsidR="007E36FD" w:rsidRDefault="007E36FD" w:rsidP="0015548F">
      <w:pPr>
        <w:jc w:val="right"/>
        <w:rPr>
          <w:rFonts w:ascii="Garamond" w:hAnsi="Garamond"/>
        </w:rPr>
      </w:pPr>
    </w:p>
    <w:p w14:paraId="308CA228" w14:textId="20F680DA" w:rsidR="007E36FD" w:rsidRDefault="009D67C6" w:rsidP="009D67C6">
      <w:pPr>
        <w:jc w:val="center"/>
        <w:rPr>
          <w:rFonts w:ascii="Garamond" w:hAnsi="Garamond"/>
        </w:rPr>
      </w:pPr>
      <w:r>
        <w:rPr>
          <w:rFonts w:ascii="Garamond" w:hAnsi="Garamond"/>
        </w:rPr>
        <w:t>##</w:t>
      </w:r>
    </w:p>
    <w:p w14:paraId="4AD3231A" w14:textId="77777777" w:rsidR="009D67C6" w:rsidRDefault="009D67C6" w:rsidP="00CE75A6">
      <w:pPr>
        <w:rPr>
          <w:rFonts w:ascii="Garamond" w:hAnsi="Garamond"/>
        </w:rPr>
      </w:pPr>
    </w:p>
    <w:p w14:paraId="58EEDC93" w14:textId="719ACDA5" w:rsidR="00DE798E" w:rsidRDefault="00DE798E" w:rsidP="00CE75A6">
      <w:pPr>
        <w:rPr>
          <w:rFonts w:ascii="Garamond" w:hAnsi="Garamond"/>
        </w:rPr>
      </w:pPr>
      <w:r>
        <w:rPr>
          <w:rFonts w:ascii="Garamond" w:hAnsi="Garamond"/>
        </w:rPr>
        <w:t>Thank you for your serious consideration of these recommendations as they relate to future Requests for Applications under the Organic Agriculture Research and Extension Initiative.</w:t>
      </w:r>
    </w:p>
    <w:p w14:paraId="2160F64A" w14:textId="77777777" w:rsidR="001267CA" w:rsidRDefault="001267CA" w:rsidP="00CE75A6">
      <w:pPr>
        <w:rPr>
          <w:rFonts w:ascii="Garamond" w:hAnsi="Garamond"/>
        </w:rPr>
      </w:pPr>
    </w:p>
    <w:p w14:paraId="1FD54548" w14:textId="77777777" w:rsidR="001267CA" w:rsidRDefault="001267CA" w:rsidP="00CE75A6">
      <w:pPr>
        <w:rPr>
          <w:rFonts w:ascii="Garamond" w:hAnsi="Garamond"/>
        </w:rPr>
      </w:pPr>
    </w:p>
    <w:p w14:paraId="79B735C4" w14:textId="77777777" w:rsidR="001267CA" w:rsidRPr="001267CA" w:rsidRDefault="00D7148F" w:rsidP="00D7148F">
      <w:pPr>
        <w:autoSpaceDE w:val="0"/>
        <w:autoSpaceDN w:val="0"/>
        <w:adjustRightInd w:val="0"/>
        <w:rPr>
          <w:rFonts w:ascii="Garamond" w:hAnsi="Garamond" w:cs="Garamond"/>
        </w:rPr>
      </w:pPr>
      <w:r w:rsidRPr="001267CA">
        <w:rPr>
          <w:rFonts w:ascii="Garamond" w:hAnsi="Garamond" w:cs="Garamond"/>
          <w:b/>
        </w:rPr>
        <w:t>NSAC Represented Members</w:t>
      </w:r>
      <w:r w:rsidRPr="001267CA">
        <w:rPr>
          <w:rFonts w:ascii="Garamond" w:hAnsi="Garamond" w:cs="Garamond"/>
        </w:rPr>
        <w:t xml:space="preserve">: </w:t>
      </w:r>
    </w:p>
    <w:p w14:paraId="1F588131" w14:textId="77777777" w:rsidR="001267CA" w:rsidRPr="001267CA" w:rsidRDefault="001267CA" w:rsidP="00D7148F">
      <w:pPr>
        <w:autoSpaceDE w:val="0"/>
        <w:autoSpaceDN w:val="0"/>
        <w:adjustRightInd w:val="0"/>
        <w:rPr>
          <w:rFonts w:ascii="Garamond" w:hAnsi="Garamond" w:cs="Garamond"/>
        </w:rPr>
      </w:pPr>
    </w:p>
    <w:p w14:paraId="0EE6A9D6" w14:textId="0262F7D6" w:rsidR="0097430D" w:rsidRDefault="00681574" w:rsidP="00CE75A6">
      <w:pPr>
        <w:rPr>
          <w:rFonts w:ascii="Garamond" w:hAnsi="Garamond"/>
        </w:rPr>
      </w:pPr>
      <w:r>
        <w:rPr>
          <w:rFonts w:ascii="Garamond" w:eastAsia="Times New Roman" w:hAnsi="Garamond" w:cs="Times New Roman"/>
        </w:rPr>
        <w:t xml:space="preserve">Agriculture and Land Based Training Association, Salina, CA; Alternative Energy Resources Organization, Helena, MT; California Certified Organic Farmers, Santa Cruz, CA; California FarmLink, Santa Cruz, CA; C.A.S.A. del Llano (Communities Assuring a Sustainable Agriculture), Hereford, TX; Catholic Rural Life, Des Moines, IA; Center for Rural Affairs, Lyons, NE; Clagett Farm/Chesapeake Bay Foundation, Upper Marlboro, MD; Community Alliance with Family Farmers, Davis, CA; Dakota Rural Action, Brookings, SD; Delta Land and Community, Almyra, AR; Ecological Farming Association, Soquel, CA; Farmer-Veteran Coalition, Davis, CA; Flats Mentor Farm, Lancaster, PA; Florida Organic Growers, </w:t>
      </w:r>
      <w:r w:rsidR="008A647B">
        <w:rPr>
          <w:rFonts w:ascii="Garamond" w:eastAsia="Times New Roman" w:hAnsi="Garamond" w:cs="Times New Roman"/>
        </w:rPr>
        <w:t>Gainesville</w:t>
      </w:r>
      <w:r>
        <w:rPr>
          <w:rFonts w:ascii="Garamond" w:eastAsia="Times New Roman" w:hAnsi="Garamond" w:cs="Times New Roman"/>
        </w:rPr>
        <w:t xml:space="preserve">, FL; GrassWorks, New Holstein, WI; Hmong National Development, St. Paul, MN; Illinois Stewardship Alliance, Springfield, IL; Institute for Agriculture and Trade Policy, Minneapolis, MN; Interfaith Sustainable Food Collaborative, Sebastopol, CA; Iowa Natural Heritage Foundation, Des Moines, IA; Izaak Walton </w:t>
      </w:r>
      <w:r>
        <w:rPr>
          <w:rFonts w:ascii="Garamond" w:eastAsia="Times New Roman" w:hAnsi="Garamond" w:cs="Times New Roman"/>
        </w:rPr>
        <w:lastRenderedPageBreak/>
        <w:t>League of America, St. Paul, MN; Kansas Rural Center, Whiting, KS; Kerr Center for Sustainable Agriculture, Poteau, OK; Land Stewardship Project, Minneapolis, MN; MAFO, St. Cloud, MN; Michael Fields Agricultural Institute, East Troy, WI; Michigan Integrated Farm and Food Systems, East Lansing, MI; Michigan Organic Food and Farm Alliance, Lansing, MI: Midwest Organic and Sustainable Education Service, Spring Valley, WI; National Center for Appropriate Technology, Butte, MT; Nebraska Sustainable Agriculture Society, Ceresco, NE; Northeast Organic Dairy Producers Alliance, Deerfield, MA; Northern Plains Sustainable Agriculture Society, LaMoure, ND; Northwest Center for Alternatives to Pesticides, Ohio Ecological Food and Farm Association, Oregon Tilth, Eugene, OR; Organic Farming Research Foundation, Santa Cruz, CA; Rural Advancement Foundation International – USA, Pittsboro, NC; Union of Concerned Scientists Food and Environment Program, Cambridge, MA; Virginia Association for Biological Farming, Lexington, VA; Wild Farm Alliance, Watsonville, CA.</w:t>
      </w:r>
    </w:p>
    <w:p w14:paraId="3E2D1898" w14:textId="00493676" w:rsidR="0097430D" w:rsidRDefault="0097430D" w:rsidP="00CE75A6">
      <w:pPr>
        <w:rPr>
          <w:rStyle w:val="im"/>
          <w:rFonts w:eastAsia="Times New Roman" w:cs="Times New Roman"/>
        </w:rPr>
      </w:pPr>
    </w:p>
    <w:sectPr w:rsidR="0097430D" w:rsidSect="007C02B6">
      <w:footerReference w:type="even" r:id="rId12"/>
      <w:footerReference w:type="default" r:id="rId13"/>
      <w:headerReference w:type="first" r:id="rId14"/>
      <w:footerReference w:type="first" r:id="rId15"/>
      <w:endnotePr>
        <w:numFmt w:val="decimal"/>
      </w:endnotePr>
      <w:type w:val="continuous"/>
      <w:pgSz w:w="12240" w:h="15840"/>
      <w:pgMar w:top="1440" w:right="1440" w:bottom="1170" w:left="1440" w:header="720" w:footer="0" w:gutter="0"/>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101AD4" w14:textId="77777777" w:rsidR="009D6C8E" w:rsidRDefault="009D6C8E" w:rsidP="002F5790">
      <w:r>
        <w:separator/>
      </w:r>
    </w:p>
  </w:endnote>
  <w:endnote w:type="continuationSeparator" w:id="0">
    <w:p w14:paraId="1881A722" w14:textId="77777777" w:rsidR="009D6C8E" w:rsidRDefault="009D6C8E" w:rsidP="002F57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Garamond">
    <w:panose1 w:val="02020404030301010803"/>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ED5CE5" w14:textId="77777777" w:rsidR="009D6C8E" w:rsidRDefault="009D6C8E" w:rsidP="00113BC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E117936" w14:textId="77777777" w:rsidR="009D6C8E" w:rsidRDefault="009D6C8E" w:rsidP="00113BC5">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A469AC" w14:textId="77777777" w:rsidR="009D6C8E" w:rsidRPr="009B2014" w:rsidRDefault="009D6C8E" w:rsidP="009B2014">
    <w:pPr>
      <w:jc w:val="center"/>
      <w:rPr>
        <w:rFonts w:ascii="Garamond" w:hAnsi="Garamond"/>
      </w:rPr>
    </w:pPr>
    <w:r w:rsidRPr="009B2014">
      <w:rPr>
        <w:rFonts w:ascii="Garamond" w:hAnsi="Garamond"/>
      </w:rPr>
      <w:fldChar w:fldCharType="begin"/>
    </w:r>
    <w:r w:rsidRPr="009B2014">
      <w:rPr>
        <w:rFonts w:ascii="Garamond" w:hAnsi="Garamond"/>
      </w:rPr>
      <w:instrText xml:space="preserve">PAGE  </w:instrText>
    </w:r>
    <w:r w:rsidRPr="009B2014">
      <w:rPr>
        <w:rFonts w:ascii="Garamond" w:hAnsi="Garamond"/>
      </w:rPr>
      <w:fldChar w:fldCharType="separate"/>
    </w:r>
    <w:r w:rsidR="008A647B">
      <w:rPr>
        <w:rFonts w:ascii="Garamond" w:hAnsi="Garamond"/>
        <w:noProof/>
      </w:rPr>
      <w:t>2</w:t>
    </w:r>
    <w:r w:rsidRPr="009B2014">
      <w:rPr>
        <w:rFonts w:ascii="Garamond" w:hAnsi="Garamond"/>
      </w:rPr>
      <w:fldChar w:fldCharType="end"/>
    </w:r>
  </w:p>
  <w:p w14:paraId="6576BE0E" w14:textId="77777777" w:rsidR="009D6C8E" w:rsidRDefault="009D6C8E" w:rsidP="00113BC5">
    <w:pPr>
      <w:pStyle w:val="Footer"/>
      <w:ind w:right="360"/>
      <w:jc w:val="cen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9E31AA" w14:textId="77777777" w:rsidR="009D6C8E" w:rsidRPr="00DE0DF2" w:rsidRDefault="009D6C8E" w:rsidP="00113BC5">
    <w:pPr>
      <w:pStyle w:val="Footer"/>
      <w:ind w:right="360"/>
      <w:jc w:val="center"/>
      <w:rPr>
        <w:rFonts w:ascii="Times New Roman" w:hAnsi="Times New Roman" w:cs="Times New Roman"/>
        <w:color w:val="000000"/>
        <w:sz w:val="22"/>
      </w:rPr>
    </w:pPr>
    <w:r w:rsidRPr="00DE0DF2">
      <w:rPr>
        <w:rFonts w:ascii="Times New Roman" w:hAnsi="Times New Roman" w:cs="Times New Roman"/>
        <w:color w:val="000000"/>
        <w:sz w:val="22"/>
      </w:rPr>
      <w:t>110 Maryland Avenue NE, Suite 209     •   Washington, DC 20002-5622</w:t>
    </w:r>
  </w:p>
  <w:p w14:paraId="47E43CEB" w14:textId="77777777" w:rsidR="009D6C8E" w:rsidRPr="00DE0DF2" w:rsidRDefault="009D6C8E" w:rsidP="00113BC5">
    <w:pPr>
      <w:pStyle w:val="Footer"/>
      <w:jc w:val="center"/>
      <w:rPr>
        <w:rFonts w:ascii="Times New Roman" w:hAnsi="Times New Roman" w:cs="Times New Roman"/>
        <w:color w:val="000000"/>
        <w:sz w:val="22"/>
      </w:rPr>
    </w:pPr>
    <w:r w:rsidRPr="00DE0DF2">
      <w:rPr>
        <w:rFonts w:ascii="Times New Roman" w:hAnsi="Times New Roman" w:cs="Times New Roman"/>
        <w:color w:val="000000"/>
        <w:sz w:val="22"/>
      </w:rPr>
      <w:t>p (202) 547-5754   f (202) 547-1837  •  www.sustainableagriculture.net</w:t>
    </w:r>
  </w:p>
  <w:p w14:paraId="1A01EE5F" w14:textId="77777777" w:rsidR="009D6C8E" w:rsidRDefault="009D6C8E" w:rsidP="00113BC5">
    <w:pPr>
      <w:pStyle w:val="Footer"/>
    </w:pPr>
  </w:p>
  <w:p w14:paraId="572274AC" w14:textId="77777777" w:rsidR="009D6C8E" w:rsidRDefault="009D6C8E">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F5EBBB" w14:textId="77777777" w:rsidR="009D6C8E" w:rsidRDefault="009D6C8E" w:rsidP="002F5790">
      <w:r>
        <w:separator/>
      </w:r>
    </w:p>
  </w:footnote>
  <w:footnote w:type="continuationSeparator" w:id="0">
    <w:p w14:paraId="49AD1D69" w14:textId="77777777" w:rsidR="009D6C8E" w:rsidRDefault="009D6C8E" w:rsidP="002F5790">
      <w:r>
        <w:continuationSeparator/>
      </w:r>
    </w:p>
  </w:footnote>
  <w:footnote w:id="1">
    <w:p w14:paraId="1069589F" w14:textId="2980581A" w:rsidR="009D6C8E" w:rsidRPr="00CC650B" w:rsidRDefault="009D6C8E">
      <w:pPr>
        <w:pStyle w:val="FootnoteText"/>
        <w:rPr>
          <w:rFonts w:ascii="Garamond" w:hAnsi="Garamond"/>
        </w:rPr>
      </w:pPr>
      <w:r w:rsidRPr="00CC650B">
        <w:rPr>
          <w:rStyle w:val="FootnoteReference"/>
          <w:rFonts w:ascii="Garamond" w:hAnsi="Garamond"/>
        </w:rPr>
        <w:footnoteRef/>
      </w:r>
      <w:r w:rsidRPr="00CC650B">
        <w:rPr>
          <w:rFonts w:ascii="Garamond" w:hAnsi="Garamond"/>
        </w:rPr>
        <w:t xml:space="preserve">  Agriculture</w:t>
      </w:r>
      <w:r>
        <w:rPr>
          <w:rFonts w:ascii="Garamond" w:hAnsi="Garamond"/>
        </w:rPr>
        <w:t xml:space="preserve"> Act of 2014 (P.L. 113-79) Section 7128(a) amend.</w:t>
      </w:r>
      <w:r w:rsidRPr="00CC650B">
        <w:rPr>
          <w:rFonts w:ascii="Garamond" w:hAnsi="Garamond"/>
        </w:rPr>
        <w:t xml:space="preserve"> The National Agriculture Research, Extension, and Teaching Policy Act of 1977 (7 U.S.C. 3101 et seq.)</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02A2A6" w14:textId="77777777" w:rsidR="009D6C8E" w:rsidRDefault="009D6C8E">
    <w:pPr>
      <w:pStyle w:val="Header"/>
    </w:pPr>
    <w:r>
      <w:rPr>
        <w:noProof/>
        <w:lang w:eastAsia="en-US"/>
      </w:rPr>
      <w:drawing>
        <wp:anchor distT="0" distB="0" distL="114300" distR="114300" simplePos="0" relativeHeight="251658240" behindDoc="0" locked="0" layoutInCell="1" allowOverlap="1" wp14:anchorId="5B7B4948" wp14:editId="23B74193">
          <wp:simplePos x="0" y="0"/>
          <wp:positionH relativeFrom="column">
            <wp:posOffset>1080135</wp:posOffset>
          </wp:positionH>
          <wp:positionV relativeFrom="paragraph">
            <wp:posOffset>-273685</wp:posOffset>
          </wp:positionV>
          <wp:extent cx="3771900" cy="733425"/>
          <wp:effectExtent l="0" t="0" r="12700" b="3175"/>
          <wp:wrapThrough wrapText="bothSides">
            <wp:wrapPolygon edited="0">
              <wp:start x="0" y="0"/>
              <wp:lineTo x="0" y="20945"/>
              <wp:lineTo x="21527" y="20945"/>
              <wp:lineTo x="21527" y="0"/>
              <wp:lineTo x="0" y="0"/>
            </wp:wrapPolygon>
          </wp:wrapThrough>
          <wp:docPr id="1" name="Picture 1" descr="NSAC_logo_final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SAC_logo_final_b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71900" cy="7334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numFmt w:val="decimal"/>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6452"/>
    <w:rsid w:val="00003BAE"/>
    <w:rsid w:val="000040CE"/>
    <w:rsid w:val="000049E6"/>
    <w:rsid w:val="00014988"/>
    <w:rsid w:val="00021B01"/>
    <w:rsid w:val="0002391E"/>
    <w:rsid w:val="0003442C"/>
    <w:rsid w:val="00034C39"/>
    <w:rsid w:val="00053127"/>
    <w:rsid w:val="00073F87"/>
    <w:rsid w:val="00076D15"/>
    <w:rsid w:val="00086C38"/>
    <w:rsid w:val="000B36EC"/>
    <w:rsid w:val="000C4A7B"/>
    <w:rsid w:val="000D2B60"/>
    <w:rsid w:val="000D61D4"/>
    <w:rsid w:val="000E37AE"/>
    <w:rsid w:val="000F19C3"/>
    <w:rsid w:val="000F5C86"/>
    <w:rsid w:val="00104B25"/>
    <w:rsid w:val="00107E2D"/>
    <w:rsid w:val="00110C11"/>
    <w:rsid w:val="00113BC5"/>
    <w:rsid w:val="00123329"/>
    <w:rsid w:val="001267CA"/>
    <w:rsid w:val="0014734B"/>
    <w:rsid w:val="0015548F"/>
    <w:rsid w:val="0018491F"/>
    <w:rsid w:val="001B206E"/>
    <w:rsid w:val="001C05FC"/>
    <w:rsid w:val="001C1C82"/>
    <w:rsid w:val="001C3AA3"/>
    <w:rsid w:val="001D5AA5"/>
    <w:rsid w:val="001E79E6"/>
    <w:rsid w:val="00201B87"/>
    <w:rsid w:val="00207762"/>
    <w:rsid w:val="002104E9"/>
    <w:rsid w:val="00210D86"/>
    <w:rsid w:val="00213A93"/>
    <w:rsid w:val="00213B09"/>
    <w:rsid w:val="0021512F"/>
    <w:rsid w:val="00217459"/>
    <w:rsid w:val="00223E66"/>
    <w:rsid w:val="00233413"/>
    <w:rsid w:val="00244EEA"/>
    <w:rsid w:val="00245D26"/>
    <w:rsid w:val="00245F1C"/>
    <w:rsid w:val="0026000E"/>
    <w:rsid w:val="00264975"/>
    <w:rsid w:val="00264D31"/>
    <w:rsid w:val="00282C2A"/>
    <w:rsid w:val="00293D76"/>
    <w:rsid w:val="002A6B37"/>
    <w:rsid w:val="002A7376"/>
    <w:rsid w:val="002B480A"/>
    <w:rsid w:val="002C1F87"/>
    <w:rsid w:val="002C2050"/>
    <w:rsid w:val="002D1D22"/>
    <w:rsid w:val="002D3847"/>
    <w:rsid w:val="002E07AC"/>
    <w:rsid w:val="002F078B"/>
    <w:rsid w:val="002F0AA3"/>
    <w:rsid w:val="002F5790"/>
    <w:rsid w:val="00300BF2"/>
    <w:rsid w:val="00300E8F"/>
    <w:rsid w:val="003439C0"/>
    <w:rsid w:val="00347659"/>
    <w:rsid w:val="0035229A"/>
    <w:rsid w:val="00361C08"/>
    <w:rsid w:val="00362001"/>
    <w:rsid w:val="00363FCA"/>
    <w:rsid w:val="00371B13"/>
    <w:rsid w:val="00375F11"/>
    <w:rsid w:val="00380DF0"/>
    <w:rsid w:val="003821A6"/>
    <w:rsid w:val="003A74E1"/>
    <w:rsid w:val="003B306A"/>
    <w:rsid w:val="003B46AA"/>
    <w:rsid w:val="003B4EDE"/>
    <w:rsid w:val="003B6332"/>
    <w:rsid w:val="003B7538"/>
    <w:rsid w:val="003C21DB"/>
    <w:rsid w:val="003D2306"/>
    <w:rsid w:val="003D28BE"/>
    <w:rsid w:val="003D69DD"/>
    <w:rsid w:val="003E5F5F"/>
    <w:rsid w:val="003E6DFA"/>
    <w:rsid w:val="003E7102"/>
    <w:rsid w:val="003F2B8B"/>
    <w:rsid w:val="003F74E2"/>
    <w:rsid w:val="00410159"/>
    <w:rsid w:val="00423D18"/>
    <w:rsid w:val="00425872"/>
    <w:rsid w:val="00430014"/>
    <w:rsid w:val="00440E7D"/>
    <w:rsid w:val="00446E7A"/>
    <w:rsid w:val="00457A4C"/>
    <w:rsid w:val="00461DAE"/>
    <w:rsid w:val="00464D0F"/>
    <w:rsid w:val="00466E32"/>
    <w:rsid w:val="00471686"/>
    <w:rsid w:val="0047432A"/>
    <w:rsid w:val="00481E3B"/>
    <w:rsid w:val="00492B1F"/>
    <w:rsid w:val="004B5931"/>
    <w:rsid w:val="004D1C6A"/>
    <w:rsid w:val="004D3586"/>
    <w:rsid w:val="004D7F92"/>
    <w:rsid w:val="004E05A1"/>
    <w:rsid w:val="004E51E1"/>
    <w:rsid w:val="004E5E1A"/>
    <w:rsid w:val="00500CC4"/>
    <w:rsid w:val="005137A1"/>
    <w:rsid w:val="00514E87"/>
    <w:rsid w:val="00531FFE"/>
    <w:rsid w:val="00533568"/>
    <w:rsid w:val="0054110A"/>
    <w:rsid w:val="0056204C"/>
    <w:rsid w:val="00570295"/>
    <w:rsid w:val="00582565"/>
    <w:rsid w:val="00583E44"/>
    <w:rsid w:val="0059233B"/>
    <w:rsid w:val="005976DB"/>
    <w:rsid w:val="005A619E"/>
    <w:rsid w:val="005A6C06"/>
    <w:rsid w:val="005B0A8F"/>
    <w:rsid w:val="005B59A5"/>
    <w:rsid w:val="005D1C9E"/>
    <w:rsid w:val="005D4397"/>
    <w:rsid w:val="005E057B"/>
    <w:rsid w:val="00621638"/>
    <w:rsid w:val="0065652F"/>
    <w:rsid w:val="00677549"/>
    <w:rsid w:val="00681574"/>
    <w:rsid w:val="006823BF"/>
    <w:rsid w:val="0069621C"/>
    <w:rsid w:val="006D5BC8"/>
    <w:rsid w:val="006E7B59"/>
    <w:rsid w:val="006F4CF1"/>
    <w:rsid w:val="0070063B"/>
    <w:rsid w:val="00704823"/>
    <w:rsid w:val="00734040"/>
    <w:rsid w:val="00735E87"/>
    <w:rsid w:val="007434E1"/>
    <w:rsid w:val="00752496"/>
    <w:rsid w:val="007524D1"/>
    <w:rsid w:val="00771E60"/>
    <w:rsid w:val="00775320"/>
    <w:rsid w:val="00790616"/>
    <w:rsid w:val="007C02B6"/>
    <w:rsid w:val="007C798F"/>
    <w:rsid w:val="007D1415"/>
    <w:rsid w:val="007D2554"/>
    <w:rsid w:val="007E06D6"/>
    <w:rsid w:val="007E133A"/>
    <w:rsid w:val="007E36FD"/>
    <w:rsid w:val="007E7EC8"/>
    <w:rsid w:val="007F0AFC"/>
    <w:rsid w:val="007F3D22"/>
    <w:rsid w:val="00800759"/>
    <w:rsid w:val="00807D5B"/>
    <w:rsid w:val="00813A7A"/>
    <w:rsid w:val="00814453"/>
    <w:rsid w:val="00821D9B"/>
    <w:rsid w:val="008262F2"/>
    <w:rsid w:val="008300F8"/>
    <w:rsid w:val="00830ECE"/>
    <w:rsid w:val="00831FA7"/>
    <w:rsid w:val="00833F9B"/>
    <w:rsid w:val="00840106"/>
    <w:rsid w:val="00842881"/>
    <w:rsid w:val="00847E2E"/>
    <w:rsid w:val="008608CA"/>
    <w:rsid w:val="008759AA"/>
    <w:rsid w:val="00893340"/>
    <w:rsid w:val="008A645A"/>
    <w:rsid w:val="008A647B"/>
    <w:rsid w:val="008E3FE7"/>
    <w:rsid w:val="008E5DE2"/>
    <w:rsid w:val="00903038"/>
    <w:rsid w:val="00920D39"/>
    <w:rsid w:val="00931F2F"/>
    <w:rsid w:val="0094613E"/>
    <w:rsid w:val="0095729C"/>
    <w:rsid w:val="00974134"/>
    <w:rsid w:val="0097430D"/>
    <w:rsid w:val="00974AE8"/>
    <w:rsid w:val="0097790F"/>
    <w:rsid w:val="00991F58"/>
    <w:rsid w:val="009B2014"/>
    <w:rsid w:val="009D67C6"/>
    <w:rsid w:val="009D6C8E"/>
    <w:rsid w:val="009E0EBC"/>
    <w:rsid w:val="00A01362"/>
    <w:rsid w:val="00A0522B"/>
    <w:rsid w:val="00A10F7A"/>
    <w:rsid w:val="00A112EA"/>
    <w:rsid w:val="00A15697"/>
    <w:rsid w:val="00A16DA4"/>
    <w:rsid w:val="00A60A60"/>
    <w:rsid w:val="00A6553D"/>
    <w:rsid w:val="00A65CFD"/>
    <w:rsid w:val="00A83728"/>
    <w:rsid w:val="00A90744"/>
    <w:rsid w:val="00A94056"/>
    <w:rsid w:val="00AA1D2B"/>
    <w:rsid w:val="00AA2654"/>
    <w:rsid w:val="00AB2C5B"/>
    <w:rsid w:val="00AC6F6A"/>
    <w:rsid w:val="00AC701B"/>
    <w:rsid w:val="00AD12C8"/>
    <w:rsid w:val="00AF6A3F"/>
    <w:rsid w:val="00B06282"/>
    <w:rsid w:val="00B12582"/>
    <w:rsid w:val="00B132F9"/>
    <w:rsid w:val="00B22F29"/>
    <w:rsid w:val="00B31971"/>
    <w:rsid w:val="00B3506C"/>
    <w:rsid w:val="00B441BB"/>
    <w:rsid w:val="00B6202A"/>
    <w:rsid w:val="00B6551D"/>
    <w:rsid w:val="00B7479F"/>
    <w:rsid w:val="00B82A5A"/>
    <w:rsid w:val="00B83B96"/>
    <w:rsid w:val="00BB14F7"/>
    <w:rsid w:val="00BB6714"/>
    <w:rsid w:val="00BC412C"/>
    <w:rsid w:val="00BE5AD3"/>
    <w:rsid w:val="00C06FF1"/>
    <w:rsid w:val="00C168DB"/>
    <w:rsid w:val="00C26098"/>
    <w:rsid w:val="00C3023C"/>
    <w:rsid w:val="00C3064F"/>
    <w:rsid w:val="00C406D2"/>
    <w:rsid w:val="00C41109"/>
    <w:rsid w:val="00C55078"/>
    <w:rsid w:val="00C6115A"/>
    <w:rsid w:val="00C6708A"/>
    <w:rsid w:val="00C741F2"/>
    <w:rsid w:val="00C7718E"/>
    <w:rsid w:val="00C80D9C"/>
    <w:rsid w:val="00C972C0"/>
    <w:rsid w:val="00CA667D"/>
    <w:rsid w:val="00CA7E63"/>
    <w:rsid w:val="00CC4526"/>
    <w:rsid w:val="00CC650B"/>
    <w:rsid w:val="00CE2485"/>
    <w:rsid w:val="00CE57B7"/>
    <w:rsid w:val="00CE75A6"/>
    <w:rsid w:val="00D02D8F"/>
    <w:rsid w:val="00D05741"/>
    <w:rsid w:val="00D13586"/>
    <w:rsid w:val="00D27CAD"/>
    <w:rsid w:val="00D44EEF"/>
    <w:rsid w:val="00D54186"/>
    <w:rsid w:val="00D7148F"/>
    <w:rsid w:val="00D75482"/>
    <w:rsid w:val="00D94CCA"/>
    <w:rsid w:val="00DA7711"/>
    <w:rsid w:val="00DA784A"/>
    <w:rsid w:val="00DD09FC"/>
    <w:rsid w:val="00DD195C"/>
    <w:rsid w:val="00DD7B1F"/>
    <w:rsid w:val="00DE0DF2"/>
    <w:rsid w:val="00DE53FA"/>
    <w:rsid w:val="00DE798E"/>
    <w:rsid w:val="00DF6452"/>
    <w:rsid w:val="00DF689A"/>
    <w:rsid w:val="00E06544"/>
    <w:rsid w:val="00E10824"/>
    <w:rsid w:val="00E2332A"/>
    <w:rsid w:val="00E42E4C"/>
    <w:rsid w:val="00E45012"/>
    <w:rsid w:val="00E46D29"/>
    <w:rsid w:val="00E56969"/>
    <w:rsid w:val="00E61693"/>
    <w:rsid w:val="00E72227"/>
    <w:rsid w:val="00E925DE"/>
    <w:rsid w:val="00E96789"/>
    <w:rsid w:val="00EA6505"/>
    <w:rsid w:val="00EB05C2"/>
    <w:rsid w:val="00F04642"/>
    <w:rsid w:val="00F06A94"/>
    <w:rsid w:val="00F10608"/>
    <w:rsid w:val="00F13BBF"/>
    <w:rsid w:val="00F174DA"/>
    <w:rsid w:val="00F222D2"/>
    <w:rsid w:val="00F23458"/>
    <w:rsid w:val="00F24AC2"/>
    <w:rsid w:val="00F32462"/>
    <w:rsid w:val="00F42D91"/>
    <w:rsid w:val="00FC62D9"/>
    <w:rsid w:val="00FD4B75"/>
    <w:rsid w:val="00FE1268"/>
    <w:rsid w:val="00FE1EBD"/>
    <w:rsid w:val="00FF3FB2"/>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2D676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0" w:defSemiHidden="0" w:defUnhideWhenUsed="0" w:defQFormat="0" w:count="276"/>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90744"/>
    <w:rPr>
      <w:color w:val="0000FF" w:themeColor="hyperlink"/>
      <w:u w:val="single"/>
    </w:rPr>
  </w:style>
  <w:style w:type="paragraph" w:styleId="PlainText">
    <w:name w:val="Plain Text"/>
    <w:basedOn w:val="Normal"/>
    <w:link w:val="PlainTextChar"/>
    <w:rsid w:val="005137A1"/>
    <w:rPr>
      <w:rFonts w:ascii="Courier New" w:eastAsia="Times New Roman" w:hAnsi="Courier New" w:cs="Courier New"/>
      <w:sz w:val="20"/>
      <w:szCs w:val="20"/>
    </w:rPr>
  </w:style>
  <w:style w:type="character" w:customStyle="1" w:styleId="PlainTextChar">
    <w:name w:val="Plain Text Char"/>
    <w:basedOn w:val="DefaultParagraphFont"/>
    <w:link w:val="PlainText"/>
    <w:rsid w:val="005137A1"/>
    <w:rPr>
      <w:rFonts w:ascii="Courier New" w:eastAsia="Times New Roman" w:hAnsi="Courier New" w:cs="Courier New"/>
      <w:sz w:val="20"/>
      <w:szCs w:val="20"/>
    </w:rPr>
  </w:style>
  <w:style w:type="paragraph" w:styleId="Header">
    <w:name w:val="header"/>
    <w:basedOn w:val="Normal"/>
    <w:link w:val="HeaderChar"/>
    <w:rsid w:val="005137A1"/>
    <w:pPr>
      <w:tabs>
        <w:tab w:val="center" w:pos="4320"/>
        <w:tab w:val="right" w:pos="8640"/>
      </w:tabs>
    </w:pPr>
  </w:style>
  <w:style w:type="character" w:customStyle="1" w:styleId="HeaderChar">
    <w:name w:val="Header Char"/>
    <w:basedOn w:val="DefaultParagraphFont"/>
    <w:link w:val="Header"/>
    <w:rsid w:val="005137A1"/>
  </w:style>
  <w:style w:type="paragraph" w:styleId="Footer">
    <w:name w:val="footer"/>
    <w:basedOn w:val="Normal"/>
    <w:link w:val="FooterChar"/>
    <w:rsid w:val="005137A1"/>
    <w:pPr>
      <w:tabs>
        <w:tab w:val="center" w:pos="4320"/>
        <w:tab w:val="right" w:pos="8640"/>
      </w:tabs>
    </w:pPr>
  </w:style>
  <w:style w:type="character" w:customStyle="1" w:styleId="FooterChar">
    <w:name w:val="Footer Char"/>
    <w:basedOn w:val="DefaultParagraphFont"/>
    <w:link w:val="Footer"/>
    <w:rsid w:val="005137A1"/>
  </w:style>
  <w:style w:type="character" w:styleId="PageNumber">
    <w:name w:val="page number"/>
    <w:basedOn w:val="DefaultParagraphFont"/>
    <w:rsid w:val="00113BC5"/>
  </w:style>
  <w:style w:type="paragraph" w:styleId="FootnoteText">
    <w:name w:val="footnote text"/>
    <w:basedOn w:val="Normal"/>
    <w:link w:val="FootnoteTextChar"/>
    <w:rsid w:val="006823BF"/>
  </w:style>
  <w:style w:type="character" w:customStyle="1" w:styleId="FootnoteTextChar">
    <w:name w:val="Footnote Text Char"/>
    <w:basedOn w:val="DefaultParagraphFont"/>
    <w:link w:val="FootnoteText"/>
    <w:rsid w:val="006823BF"/>
  </w:style>
  <w:style w:type="character" w:styleId="FootnoteReference">
    <w:name w:val="footnote reference"/>
    <w:basedOn w:val="DefaultParagraphFont"/>
    <w:rsid w:val="006823BF"/>
    <w:rPr>
      <w:vertAlign w:val="superscript"/>
    </w:rPr>
  </w:style>
  <w:style w:type="paragraph" w:styleId="BalloonText">
    <w:name w:val="Balloon Text"/>
    <w:basedOn w:val="Normal"/>
    <w:link w:val="BalloonTextChar"/>
    <w:rsid w:val="00E06544"/>
    <w:rPr>
      <w:rFonts w:ascii="Lucida Grande" w:hAnsi="Lucida Grande" w:cs="Lucida Grande"/>
      <w:sz w:val="18"/>
      <w:szCs w:val="18"/>
    </w:rPr>
  </w:style>
  <w:style w:type="character" w:customStyle="1" w:styleId="BalloonTextChar">
    <w:name w:val="Balloon Text Char"/>
    <w:basedOn w:val="DefaultParagraphFont"/>
    <w:link w:val="BalloonText"/>
    <w:rsid w:val="00E06544"/>
    <w:rPr>
      <w:rFonts w:ascii="Lucida Grande" w:hAnsi="Lucida Grande" w:cs="Lucida Grande"/>
      <w:sz w:val="18"/>
      <w:szCs w:val="18"/>
    </w:rPr>
  </w:style>
  <w:style w:type="character" w:styleId="CommentReference">
    <w:name w:val="annotation reference"/>
    <w:basedOn w:val="DefaultParagraphFont"/>
    <w:rsid w:val="00361C08"/>
    <w:rPr>
      <w:sz w:val="18"/>
      <w:szCs w:val="18"/>
    </w:rPr>
  </w:style>
  <w:style w:type="paragraph" w:styleId="CommentText">
    <w:name w:val="annotation text"/>
    <w:basedOn w:val="Normal"/>
    <w:link w:val="CommentTextChar"/>
    <w:rsid w:val="00361C08"/>
  </w:style>
  <w:style w:type="character" w:customStyle="1" w:styleId="CommentTextChar">
    <w:name w:val="Comment Text Char"/>
    <w:basedOn w:val="DefaultParagraphFont"/>
    <w:link w:val="CommentText"/>
    <w:rsid w:val="00361C08"/>
  </w:style>
  <w:style w:type="paragraph" w:styleId="CommentSubject">
    <w:name w:val="annotation subject"/>
    <w:basedOn w:val="CommentText"/>
    <w:next w:val="CommentText"/>
    <w:link w:val="CommentSubjectChar"/>
    <w:rsid w:val="00361C08"/>
    <w:rPr>
      <w:b/>
      <w:bCs/>
      <w:sz w:val="20"/>
      <w:szCs w:val="20"/>
    </w:rPr>
  </w:style>
  <w:style w:type="character" w:customStyle="1" w:styleId="CommentSubjectChar">
    <w:name w:val="Comment Subject Char"/>
    <w:basedOn w:val="CommentTextChar"/>
    <w:link w:val="CommentSubject"/>
    <w:rsid w:val="00361C08"/>
    <w:rPr>
      <w:b/>
      <w:bCs/>
      <w:sz w:val="20"/>
      <w:szCs w:val="20"/>
    </w:rPr>
  </w:style>
  <w:style w:type="paragraph" w:styleId="EndnoteText">
    <w:name w:val="endnote text"/>
    <w:basedOn w:val="Normal"/>
    <w:link w:val="EndnoteTextChar"/>
    <w:rsid w:val="005D4397"/>
  </w:style>
  <w:style w:type="character" w:customStyle="1" w:styleId="EndnoteTextChar">
    <w:name w:val="Endnote Text Char"/>
    <w:basedOn w:val="DefaultParagraphFont"/>
    <w:link w:val="EndnoteText"/>
    <w:rsid w:val="005D4397"/>
  </w:style>
  <w:style w:type="character" w:styleId="EndnoteReference">
    <w:name w:val="endnote reference"/>
    <w:basedOn w:val="DefaultParagraphFont"/>
    <w:rsid w:val="005D4397"/>
    <w:rPr>
      <w:vertAlign w:val="superscript"/>
    </w:rPr>
  </w:style>
  <w:style w:type="paragraph" w:styleId="Revision">
    <w:name w:val="Revision"/>
    <w:hidden/>
    <w:rsid w:val="0097790F"/>
  </w:style>
  <w:style w:type="character" w:styleId="FollowedHyperlink">
    <w:name w:val="FollowedHyperlink"/>
    <w:basedOn w:val="DefaultParagraphFont"/>
    <w:rsid w:val="00C6708A"/>
    <w:rPr>
      <w:color w:val="800080" w:themeColor="followedHyperlink"/>
      <w:u w:val="single"/>
    </w:rPr>
  </w:style>
  <w:style w:type="character" w:customStyle="1" w:styleId="im">
    <w:name w:val="im"/>
    <w:basedOn w:val="DefaultParagraphFont"/>
    <w:rsid w:val="004D7F92"/>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0" w:defSemiHidden="0" w:defUnhideWhenUsed="0" w:defQFormat="0" w:count="276"/>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90744"/>
    <w:rPr>
      <w:color w:val="0000FF" w:themeColor="hyperlink"/>
      <w:u w:val="single"/>
    </w:rPr>
  </w:style>
  <w:style w:type="paragraph" w:styleId="PlainText">
    <w:name w:val="Plain Text"/>
    <w:basedOn w:val="Normal"/>
    <w:link w:val="PlainTextChar"/>
    <w:rsid w:val="005137A1"/>
    <w:rPr>
      <w:rFonts w:ascii="Courier New" w:eastAsia="Times New Roman" w:hAnsi="Courier New" w:cs="Courier New"/>
      <w:sz w:val="20"/>
      <w:szCs w:val="20"/>
    </w:rPr>
  </w:style>
  <w:style w:type="character" w:customStyle="1" w:styleId="PlainTextChar">
    <w:name w:val="Plain Text Char"/>
    <w:basedOn w:val="DefaultParagraphFont"/>
    <w:link w:val="PlainText"/>
    <w:rsid w:val="005137A1"/>
    <w:rPr>
      <w:rFonts w:ascii="Courier New" w:eastAsia="Times New Roman" w:hAnsi="Courier New" w:cs="Courier New"/>
      <w:sz w:val="20"/>
      <w:szCs w:val="20"/>
    </w:rPr>
  </w:style>
  <w:style w:type="paragraph" w:styleId="Header">
    <w:name w:val="header"/>
    <w:basedOn w:val="Normal"/>
    <w:link w:val="HeaderChar"/>
    <w:rsid w:val="005137A1"/>
    <w:pPr>
      <w:tabs>
        <w:tab w:val="center" w:pos="4320"/>
        <w:tab w:val="right" w:pos="8640"/>
      </w:tabs>
    </w:pPr>
  </w:style>
  <w:style w:type="character" w:customStyle="1" w:styleId="HeaderChar">
    <w:name w:val="Header Char"/>
    <w:basedOn w:val="DefaultParagraphFont"/>
    <w:link w:val="Header"/>
    <w:rsid w:val="005137A1"/>
  </w:style>
  <w:style w:type="paragraph" w:styleId="Footer">
    <w:name w:val="footer"/>
    <w:basedOn w:val="Normal"/>
    <w:link w:val="FooterChar"/>
    <w:rsid w:val="005137A1"/>
    <w:pPr>
      <w:tabs>
        <w:tab w:val="center" w:pos="4320"/>
        <w:tab w:val="right" w:pos="8640"/>
      </w:tabs>
    </w:pPr>
  </w:style>
  <w:style w:type="character" w:customStyle="1" w:styleId="FooterChar">
    <w:name w:val="Footer Char"/>
    <w:basedOn w:val="DefaultParagraphFont"/>
    <w:link w:val="Footer"/>
    <w:rsid w:val="005137A1"/>
  </w:style>
  <w:style w:type="character" w:styleId="PageNumber">
    <w:name w:val="page number"/>
    <w:basedOn w:val="DefaultParagraphFont"/>
    <w:rsid w:val="00113BC5"/>
  </w:style>
  <w:style w:type="paragraph" w:styleId="FootnoteText">
    <w:name w:val="footnote text"/>
    <w:basedOn w:val="Normal"/>
    <w:link w:val="FootnoteTextChar"/>
    <w:rsid w:val="006823BF"/>
  </w:style>
  <w:style w:type="character" w:customStyle="1" w:styleId="FootnoteTextChar">
    <w:name w:val="Footnote Text Char"/>
    <w:basedOn w:val="DefaultParagraphFont"/>
    <w:link w:val="FootnoteText"/>
    <w:rsid w:val="006823BF"/>
  </w:style>
  <w:style w:type="character" w:styleId="FootnoteReference">
    <w:name w:val="footnote reference"/>
    <w:basedOn w:val="DefaultParagraphFont"/>
    <w:rsid w:val="006823BF"/>
    <w:rPr>
      <w:vertAlign w:val="superscript"/>
    </w:rPr>
  </w:style>
  <w:style w:type="paragraph" w:styleId="BalloonText">
    <w:name w:val="Balloon Text"/>
    <w:basedOn w:val="Normal"/>
    <w:link w:val="BalloonTextChar"/>
    <w:rsid w:val="00E06544"/>
    <w:rPr>
      <w:rFonts w:ascii="Lucida Grande" w:hAnsi="Lucida Grande" w:cs="Lucida Grande"/>
      <w:sz w:val="18"/>
      <w:szCs w:val="18"/>
    </w:rPr>
  </w:style>
  <w:style w:type="character" w:customStyle="1" w:styleId="BalloonTextChar">
    <w:name w:val="Balloon Text Char"/>
    <w:basedOn w:val="DefaultParagraphFont"/>
    <w:link w:val="BalloonText"/>
    <w:rsid w:val="00E06544"/>
    <w:rPr>
      <w:rFonts w:ascii="Lucida Grande" w:hAnsi="Lucida Grande" w:cs="Lucida Grande"/>
      <w:sz w:val="18"/>
      <w:szCs w:val="18"/>
    </w:rPr>
  </w:style>
  <w:style w:type="character" w:styleId="CommentReference">
    <w:name w:val="annotation reference"/>
    <w:basedOn w:val="DefaultParagraphFont"/>
    <w:rsid w:val="00361C08"/>
    <w:rPr>
      <w:sz w:val="18"/>
      <w:szCs w:val="18"/>
    </w:rPr>
  </w:style>
  <w:style w:type="paragraph" w:styleId="CommentText">
    <w:name w:val="annotation text"/>
    <w:basedOn w:val="Normal"/>
    <w:link w:val="CommentTextChar"/>
    <w:rsid w:val="00361C08"/>
  </w:style>
  <w:style w:type="character" w:customStyle="1" w:styleId="CommentTextChar">
    <w:name w:val="Comment Text Char"/>
    <w:basedOn w:val="DefaultParagraphFont"/>
    <w:link w:val="CommentText"/>
    <w:rsid w:val="00361C08"/>
  </w:style>
  <w:style w:type="paragraph" w:styleId="CommentSubject">
    <w:name w:val="annotation subject"/>
    <w:basedOn w:val="CommentText"/>
    <w:next w:val="CommentText"/>
    <w:link w:val="CommentSubjectChar"/>
    <w:rsid w:val="00361C08"/>
    <w:rPr>
      <w:b/>
      <w:bCs/>
      <w:sz w:val="20"/>
      <w:szCs w:val="20"/>
    </w:rPr>
  </w:style>
  <w:style w:type="character" w:customStyle="1" w:styleId="CommentSubjectChar">
    <w:name w:val="Comment Subject Char"/>
    <w:basedOn w:val="CommentTextChar"/>
    <w:link w:val="CommentSubject"/>
    <w:rsid w:val="00361C08"/>
    <w:rPr>
      <w:b/>
      <w:bCs/>
      <w:sz w:val="20"/>
      <w:szCs w:val="20"/>
    </w:rPr>
  </w:style>
  <w:style w:type="paragraph" w:styleId="EndnoteText">
    <w:name w:val="endnote text"/>
    <w:basedOn w:val="Normal"/>
    <w:link w:val="EndnoteTextChar"/>
    <w:rsid w:val="005D4397"/>
  </w:style>
  <w:style w:type="character" w:customStyle="1" w:styleId="EndnoteTextChar">
    <w:name w:val="Endnote Text Char"/>
    <w:basedOn w:val="DefaultParagraphFont"/>
    <w:link w:val="EndnoteText"/>
    <w:rsid w:val="005D4397"/>
  </w:style>
  <w:style w:type="character" w:styleId="EndnoteReference">
    <w:name w:val="endnote reference"/>
    <w:basedOn w:val="DefaultParagraphFont"/>
    <w:rsid w:val="005D4397"/>
    <w:rPr>
      <w:vertAlign w:val="superscript"/>
    </w:rPr>
  </w:style>
  <w:style w:type="paragraph" w:styleId="Revision">
    <w:name w:val="Revision"/>
    <w:hidden/>
    <w:rsid w:val="0097790F"/>
  </w:style>
  <w:style w:type="character" w:styleId="FollowedHyperlink">
    <w:name w:val="FollowedHyperlink"/>
    <w:basedOn w:val="DefaultParagraphFont"/>
    <w:rsid w:val="00C6708A"/>
    <w:rPr>
      <w:color w:val="800080" w:themeColor="followedHyperlink"/>
      <w:u w:val="single"/>
    </w:rPr>
  </w:style>
  <w:style w:type="character" w:customStyle="1" w:styleId="im">
    <w:name w:val="im"/>
    <w:basedOn w:val="DefaultParagraphFont"/>
    <w:rsid w:val="004D7F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0498152">
      <w:bodyDiv w:val="1"/>
      <w:marLeft w:val="0"/>
      <w:marRight w:val="0"/>
      <w:marTop w:val="0"/>
      <w:marBottom w:val="0"/>
      <w:divBdr>
        <w:top w:val="none" w:sz="0" w:space="0" w:color="auto"/>
        <w:left w:val="none" w:sz="0" w:space="0" w:color="auto"/>
        <w:bottom w:val="none" w:sz="0" w:space="0" w:color="auto"/>
        <w:right w:val="none" w:sz="0" w:space="0" w:color="auto"/>
      </w:divBdr>
      <w:divsChild>
        <w:div w:id="1800487406">
          <w:marLeft w:val="0"/>
          <w:marRight w:val="0"/>
          <w:marTop w:val="0"/>
          <w:marBottom w:val="0"/>
          <w:divBdr>
            <w:top w:val="none" w:sz="0" w:space="0" w:color="auto"/>
            <w:left w:val="none" w:sz="0" w:space="0" w:color="auto"/>
            <w:bottom w:val="none" w:sz="0" w:space="0" w:color="auto"/>
            <w:right w:val="none" w:sz="0" w:space="0" w:color="auto"/>
          </w:divBdr>
        </w:div>
        <w:div w:id="1733891884">
          <w:marLeft w:val="0"/>
          <w:marRight w:val="0"/>
          <w:marTop w:val="0"/>
          <w:marBottom w:val="0"/>
          <w:divBdr>
            <w:top w:val="none" w:sz="0" w:space="0" w:color="auto"/>
            <w:left w:val="none" w:sz="0" w:space="0" w:color="auto"/>
            <w:bottom w:val="none" w:sz="0" w:space="0" w:color="auto"/>
            <w:right w:val="none" w:sz="0" w:space="0" w:color="auto"/>
          </w:divBdr>
        </w:div>
        <w:div w:id="1858885988">
          <w:marLeft w:val="0"/>
          <w:marRight w:val="0"/>
          <w:marTop w:val="0"/>
          <w:marBottom w:val="0"/>
          <w:divBdr>
            <w:top w:val="none" w:sz="0" w:space="0" w:color="auto"/>
            <w:left w:val="none" w:sz="0" w:space="0" w:color="auto"/>
            <w:bottom w:val="none" w:sz="0" w:space="0" w:color="auto"/>
            <w:right w:val="none" w:sz="0" w:space="0" w:color="auto"/>
          </w:divBdr>
        </w:div>
        <w:div w:id="1630015517">
          <w:marLeft w:val="0"/>
          <w:marRight w:val="0"/>
          <w:marTop w:val="0"/>
          <w:marBottom w:val="0"/>
          <w:divBdr>
            <w:top w:val="none" w:sz="0" w:space="0" w:color="auto"/>
            <w:left w:val="none" w:sz="0" w:space="0" w:color="auto"/>
            <w:bottom w:val="none" w:sz="0" w:space="0" w:color="auto"/>
            <w:right w:val="none" w:sz="0" w:space="0" w:color="auto"/>
          </w:divBdr>
        </w:div>
        <w:div w:id="689256386">
          <w:marLeft w:val="0"/>
          <w:marRight w:val="0"/>
          <w:marTop w:val="0"/>
          <w:marBottom w:val="0"/>
          <w:divBdr>
            <w:top w:val="none" w:sz="0" w:space="0" w:color="auto"/>
            <w:left w:val="none" w:sz="0" w:space="0" w:color="auto"/>
            <w:bottom w:val="none" w:sz="0" w:space="0" w:color="auto"/>
            <w:right w:val="none" w:sz="0" w:space="0" w:color="auto"/>
          </w:divBdr>
        </w:div>
        <w:div w:id="633410370">
          <w:marLeft w:val="0"/>
          <w:marRight w:val="0"/>
          <w:marTop w:val="0"/>
          <w:marBottom w:val="0"/>
          <w:divBdr>
            <w:top w:val="none" w:sz="0" w:space="0" w:color="auto"/>
            <w:left w:val="none" w:sz="0" w:space="0" w:color="auto"/>
            <w:bottom w:val="none" w:sz="0" w:space="0" w:color="auto"/>
            <w:right w:val="none" w:sz="0" w:space="0" w:color="auto"/>
          </w:divBdr>
        </w:div>
        <w:div w:id="1615552092">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2.png"/><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header" Target="header1.xml"/><Relationship Id="rId15" Type="http://schemas.openxmlformats.org/officeDocument/2006/relationships/footer" Target="footer3.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Policy@nifa.usda.gov" TargetMode="External"/><Relationship Id="rId10"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0A4788-D759-974E-BA8A-7DE52C5A4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2657</Words>
  <Characters>15149</Characters>
  <Application>Microsoft Macintosh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National Sustainable Agriculture Coalition</Company>
  <LinksUpToDate>false</LinksUpToDate>
  <CharactersWithSpaces>17771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Martha Noble</dc:creator>
  <cp:lastModifiedBy>Paul Wolfe</cp:lastModifiedBy>
  <cp:revision>4</cp:revision>
  <cp:lastPrinted>2015-07-14T17:44:00Z</cp:lastPrinted>
  <dcterms:created xsi:type="dcterms:W3CDTF">2015-07-15T15:43:00Z</dcterms:created>
  <dcterms:modified xsi:type="dcterms:W3CDTF">2015-07-20T16:56:00Z</dcterms:modified>
</cp:coreProperties>
</file>